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7D45" w14:textId="77777777" w:rsidR="00FA0A9A" w:rsidRDefault="0012305D" w:rsidP="00C55861">
      <w:pPr>
        <w:pStyle w:val="Heading2"/>
      </w:pPr>
      <w:r>
        <w:t>Algoma Public Health</w:t>
      </w:r>
      <w:r w:rsidR="00FA0A9A">
        <w:t xml:space="preserve"> – </w:t>
      </w:r>
      <w:r w:rsidR="001A0C37">
        <w:t>Policy and Procedure</w:t>
      </w:r>
      <w:r w:rsidR="00FA0A9A">
        <w:t xml:space="preserve"> Manual</w:t>
      </w:r>
      <w:r w:rsidR="00A273BC">
        <w:t xml:space="preserve"> – Employee Policies</w:t>
      </w:r>
    </w:p>
    <w:p w14:paraId="19ED9BB5" w14:textId="77777777" w:rsidR="00FA0A9A" w:rsidRDefault="00FA0A9A" w:rsidP="00C55861">
      <w:pPr>
        <w:tabs>
          <w:tab w:val="left" w:pos="360"/>
          <w:tab w:val="left" w:pos="720"/>
          <w:tab w:val="left" w:pos="5040"/>
        </w:tabs>
        <w:rPr>
          <w:b/>
        </w:rPr>
      </w:pPr>
    </w:p>
    <w:tbl>
      <w:tblPr>
        <w:tblW w:w="10653" w:type="dxa"/>
        <w:jc w:val="center"/>
        <w:tblLayout w:type="fixed"/>
        <w:tblLook w:val="0000" w:firstRow="0" w:lastRow="0" w:firstColumn="0" w:lastColumn="0" w:noHBand="0" w:noVBand="0"/>
      </w:tblPr>
      <w:tblGrid>
        <w:gridCol w:w="1997"/>
        <w:gridCol w:w="3525"/>
        <w:gridCol w:w="1898"/>
        <w:gridCol w:w="3233"/>
      </w:tblGrid>
      <w:tr w:rsidR="00FA0A9A" w14:paraId="65AB905E" w14:textId="77777777" w:rsidTr="00AE33FE">
        <w:trPr>
          <w:cantSplit/>
          <w:trHeight w:val="263"/>
          <w:jc w:val="center"/>
        </w:trPr>
        <w:tc>
          <w:tcPr>
            <w:tcW w:w="1997" w:type="dxa"/>
          </w:tcPr>
          <w:p w14:paraId="4B7B3350" w14:textId="77777777" w:rsidR="00FA0A9A" w:rsidRDefault="00FA0A9A" w:rsidP="00C55861">
            <w:pPr>
              <w:tabs>
                <w:tab w:val="left" w:pos="360"/>
                <w:tab w:val="left" w:pos="720"/>
              </w:tabs>
              <w:rPr>
                <w:b/>
              </w:rPr>
            </w:pPr>
            <w:r>
              <w:rPr>
                <w:b/>
              </w:rPr>
              <w:t>APPROVED BY:</w:t>
            </w:r>
          </w:p>
        </w:tc>
        <w:tc>
          <w:tcPr>
            <w:tcW w:w="3525" w:type="dxa"/>
          </w:tcPr>
          <w:p w14:paraId="506C659E" w14:textId="77777777" w:rsidR="00FA0A9A" w:rsidRDefault="00416D2C" w:rsidP="00C55861">
            <w:pPr>
              <w:pStyle w:val="Heading5"/>
              <w:tabs>
                <w:tab w:val="left" w:pos="360"/>
                <w:tab w:val="left" w:pos="720"/>
              </w:tabs>
              <w:rPr>
                <w:sz w:val="22"/>
              </w:rPr>
            </w:pPr>
            <w:r>
              <w:rPr>
                <w:sz w:val="22"/>
              </w:rPr>
              <w:t>Medical Officer of Health</w:t>
            </w:r>
          </w:p>
        </w:tc>
        <w:tc>
          <w:tcPr>
            <w:tcW w:w="1898" w:type="dxa"/>
          </w:tcPr>
          <w:p w14:paraId="69834B44" w14:textId="77777777" w:rsidR="00FA0A9A" w:rsidRDefault="00FA0A9A" w:rsidP="00C55861">
            <w:pPr>
              <w:tabs>
                <w:tab w:val="left" w:pos="360"/>
                <w:tab w:val="left" w:pos="720"/>
              </w:tabs>
              <w:rPr>
                <w:b/>
              </w:rPr>
            </w:pPr>
            <w:r>
              <w:rPr>
                <w:b/>
              </w:rPr>
              <w:t>REFERENCE #:</w:t>
            </w:r>
          </w:p>
        </w:tc>
        <w:tc>
          <w:tcPr>
            <w:tcW w:w="3233" w:type="dxa"/>
          </w:tcPr>
          <w:p w14:paraId="1EC0CE00" w14:textId="79707283" w:rsidR="001A0C37" w:rsidRDefault="00D5599C" w:rsidP="00C746E5">
            <w:pPr>
              <w:tabs>
                <w:tab w:val="left" w:pos="360"/>
                <w:tab w:val="left" w:pos="720"/>
              </w:tabs>
            </w:pPr>
            <w:r>
              <w:t>0</w:t>
            </w:r>
            <w:r w:rsidR="00FA0A9A">
              <w:t>1-</w:t>
            </w:r>
          </w:p>
        </w:tc>
      </w:tr>
      <w:tr w:rsidR="00FA0A9A" w14:paraId="693E56A3" w14:textId="77777777" w:rsidTr="00AE33FE">
        <w:trPr>
          <w:cantSplit/>
          <w:trHeight w:val="263"/>
          <w:jc w:val="center"/>
        </w:trPr>
        <w:tc>
          <w:tcPr>
            <w:tcW w:w="1997" w:type="dxa"/>
          </w:tcPr>
          <w:p w14:paraId="01CE5319" w14:textId="77777777" w:rsidR="00FA0A9A" w:rsidRDefault="00D32C81" w:rsidP="00C55861">
            <w:pPr>
              <w:tabs>
                <w:tab w:val="left" w:pos="360"/>
                <w:tab w:val="left" w:pos="720"/>
              </w:tabs>
              <w:rPr>
                <w:b/>
              </w:rPr>
            </w:pPr>
            <w:r>
              <w:rPr>
                <w:b/>
              </w:rPr>
              <w:t>SIGNATURE:</w:t>
            </w:r>
          </w:p>
        </w:tc>
        <w:tc>
          <w:tcPr>
            <w:tcW w:w="3525" w:type="dxa"/>
          </w:tcPr>
          <w:p w14:paraId="63569D9A" w14:textId="77777777" w:rsidR="00FA0A9A" w:rsidRDefault="00FA0A9A" w:rsidP="00C55861">
            <w:pPr>
              <w:tabs>
                <w:tab w:val="left" w:pos="360"/>
                <w:tab w:val="left" w:pos="720"/>
              </w:tabs>
            </w:pPr>
          </w:p>
        </w:tc>
        <w:tc>
          <w:tcPr>
            <w:tcW w:w="1898" w:type="dxa"/>
          </w:tcPr>
          <w:p w14:paraId="0CE90DA5" w14:textId="77777777" w:rsidR="00FA0A9A" w:rsidRDefault="00680984" w:rsidP="00C55861">
            <w:pPr>
              <w:tabs>
                <w:tab w:val="left" w:pos="360"/>
                <w:tab w:val="left" w:pos="720"/>
              </w:tabs>
              <w:rPr>
                <w:b/>
              </w:rPr>
            </w:pPr>
            <w:r>
              <w:rPr>
                <w:b/>
              </w:rPr>
              <w:t>SECTION:</w:t>
            </w:r>
          </w:p>
        </w:tc>
        <w:tc>
          <w:tcPr>
            <w:tcW w:w="3233" w:type="dxa"/>
          </w:tcPr>
          <w:p w14:paraId="63BD1E40" w14:textId="77777777" w:rsidR="00FA0A9A" w:rsidRDefault="00680984" w:rsidP="00C55861">
            <w:pPr>
              <w:tabs>
                <w:tab w:val="left" w:pos="360"/>
                <w:tab w:val="left" w:pos="720"/>
              </w:tabs>
            </w:pPr>
            <w:r>
              <w:t>Human Resources</w:t>
            </w:r>
          </w:p>
        </w:tc>
      </w:tr>
      <w:tr w:rsidR="00680984" w14:paraId="2B5DBE96" w14:textId="77777777" w:rsidTr="006D40FB">
        <w:trPr>
          <w:cantSplit/>
          <w:trHeight w:val="567"/>
          <w:jc w:val="center"/>
        </w:trPr>
        <w:tc>
          <w:tcPr>
            <w:tcW w:w="1997" w:type="dxa"/>
          </w:tcPr>
          <w:p w14:paraId="4A22B891" w14:textId="77777777" w:rsidR="00680984" w:rsidRDefault="00680984" w:rsidP="00680984">
            <w:pPr>
              <w:tabs>
                <w:tab w:val="left" w:pos="360"/>
                <w:tab w:val="left" w:pos="720"/>
              </w:tabs>
              <w:rPr>
                <w:b/>
              </w:rPr>
            </w:pPr>
            <w:r>
              <w:rPr>
                <w:b/>
              </w:rPr>
              <w:t>DATE:</w:t>
            </w:r>
          </w:p>
        </w:tc>
        <w:tc>
          <w:tcPr>
            <w:tcW w:w="3525" w:type="dxa"/>
          </w:tcPr>
          <w:p w14:paraId="310F5DC1" w14:textId="65E71E1A" w:rsidR="00680984" w:rsidRDefault="00680984" w:rsidP="00680984">
            <w:pPr>
              <w:tabs>
                <w:tab w:val="left" w:pos="360"/>
                <w:tab w:val="left" w:pos="720"/>
              </w:tabs>
            </w:pPr>
            <w:r>
              <w:t xml:space="preserve">Original: </w:t>
            </w:r>
            <w:r w:rsidR="00C746E5">
              <w:t>2013</w:t>
            </w:r>
          </w:p>
          <w:p w14:paraId="6C5AB80D" w14:textId="4FD906E8" w:rsidR="00680984" w:rsidRDefault="00680984" w:rsidP="00E17D24">
            <w:pPr>
              <w:tabs>
                <w:tab w:val="left" w:pos="360"/>
                <w:tab w:val="left" w:pos="720"/>
              </w:tabs>
              <w:spacing w:before="0"/>
            </w:pPr>
            <w:r>
              <w:t>Revised:</w:t>
            </w:r>
            <w:r w:rsidR="00201BAB">
              <w:t xml:space="preserve"> December 28</w:t>
            </w:r>
            <w:r w:rsidR="00A71D10">
              <w:t>, 2023</w:t>
            </w:r>
          </w:p>
        </w:tc>
        <w:tc>
          <w:tcPr>
            <w:tcW w:w="1898" w:type="dxa"/>
          </w:tcPr>
          <w:p w14:paraId="6F53C23B" w14:textId="77777777" w:rsidR="00680984" w:rsidRDefault="00680984" w:rsidP="00680984">
            <w:pPr>
              <w:tabs>
                <w:tab w:val="left" w:pos="360"/>
                <w:tab w:val="left" w:pos="720"/>
              </w:tabs>
              <w:rPr>
                <w:b/>
              </w:rPr>
            </w:pPr>
            <w:r>
              <w:rPr>
                <w:b/>
              </w:rPr>
              <w:t>RESPONSIBLE:</w:t>
            </w:r>
          </w:p>
        </w:tc>
        <w:tc>
          <w:tcPr>
            <w:tcW w:w="3233" w:type="dxa"/>
          </w:tcPr>
          <w:p w14:paraId="7B4F46D8" w14:textId="3B79B25E" w:rsidR="00680984" w:rsidRDefault="00680984" w:rsidP="00680984">
            <w:pPr>
              <w:tabs>
                <w:tab w:val="left" w:pos="360"/>
                <w:tab w:val="left" w:pos="720"/>
              </w:tabs>
            </w:pPr>
            <w:r>
              <w:t xml:space="preserve">Director </w:t>
            </w:r>
            <w:r w:rsidR="00C746E5">
              <w:t xml:space="preserve">of </w:t>
            </w:r>
            <w:r>
              <w:t>Corporate Services</w:t>
            </w:r>
          </w:p>
        </w:tc>
      </w:tr>
      <w:tr w:rsidR="00680984" w14:paraId="68CCEAFC" w14:textId="77777777" w:rsidTr="00E0251D">
        <w:trPr>
          <w:cantSplit/>
          <w:trHeight w:val="297"/>
          <w:jc w:val="center"/>
        </w:trPr>
        <w:tc>
          <w:tcPr>
            <w:tcW w:w="1997" w:type="dxa"/>
          </w:tcPr>
          <w:p w14:paraId="46654C8B" w14:textId="77777777" w:rsidR="00680984" w:rsidRDefault="00680984" w:rsidP="00680984">
            <w:pPr>
              <w:tabs>
                <w:tab w:val="left" w:pos="360"/>
                <w:tab w:val="left" w:pos="720"/>
              </w:tabs>
              <w:rPr>
                <w:b/>
              </w:rPr>
            </w:pPr>
          </w:p>
        </w:tc>
        <w:tc>
          <w:tcPr>
            <w:tcW w:w="3525" w:type="dxa"/>
          </w:tcPr>
          <w:p w14:paraId="3AE81EBB" w14:textId="77777777" w:rsidR="00680984" w:rsidRDefault="00680984" w:rsidP="00C746E5">
            <w:pPr>
              <w:tabs>
                <w:tab w:val="left" w:pos="360"/>
                <w:tab w:val="left" w:pos="720"/>
              </w:tabs>
            </w:pPr>
          </w:p>
        </w:tc>
        <w:tc>
          <w:tcPr>
            <w:tcW w:w="1898" w:type="dxa"/>
          </w:tcPr>
          <w:p w14:paraId="75EFC1F3" w14:textId="77777777" w:rsidR="00680984" w:rsidRPr="00E17D24" w:rsidRDefault="00680984" w:rsidP="00E0251D">
            <w:pPr>
              <w:tabs>
                <w:tab w:val="left" w:pos="360"/>
                <w:tab w:val="left" w:pos="720"/>
              </w:tabs>
              <w:rPr>
                <w:b/>
              </w:rPr>
            </w:pPr>
            <w:r w:rsidRPr="00E17D24">
              <w:rPr>
                <w:b/>
              </w:rPr>
              <w:t>TERM:</w:t>
            </w:r>
          </w:p>
        </w:tc>
        <w:tc>
          <w:tcPr>
            <w:tcW w:w="3233" w:type="dxa"/>
          </w:tcPr>
          <w:p w14:paraId="09F07533" w14:textId="77777777" w:rsidR="00680984" w:rsidRPr="00E17D24" w:rsidRDefault="00680984" w:rsidP="00E0251D">
            <w:pPr>
              <w:tabs>
                <w:tab w:val="left" w:pos="360"/>
                <w:tab w:val="left" w:pos="720"/>
              </w:tabs>
              <w:rPr>
                <w:bCs/>
              </w:rPr>
            </w:pPr>
            <w:r w:rsidRPr="00E0251D">
              <w:t>Annual Review</w:t>
            </w:r>
          </w:p>
        </w:tc>
      </w:tr>
      <w:tr w:rsidR="00680984" w14:paraId="71EA508C" w14:textId="77777777" w:rsidTr="00E0251D">
        <w:trPr>
          <w:cantSplit/>
          <w:trHeight w:val="468"/>
          <w:jc w:val="center"/>
        </w:trPr>
        <w:tc>
          <w:tcPr>
            <w:tcW w:w="1997" w:type="dxa"/>
            <w:tcBorders>
              <w:bottom w:val="single" w:sz="4" w:space="0" w:color="auto"/>
            </w:tcBorders>
          </w:tcPr>
          <w:p w14:paraId="185FAE00" w14:textId="77777777" w:rsidR="00680984" w:rsidRDefault="00680984" w:rsidP="00680984">
            <w:pPr>
              <w:tabs>
                <w:tab w:val="left" w:pos="360"/>
                <w:tab w:val="left" w:pos="720"/>
              </w:tabs>
              <w:rPr>
                <w:b/>
              </w:rPr>
            </w:pPr>
          </w:p>
        </w:tc>
        <w:tc>
          <w:tcPr>
            <w:tcW w:w="3525" w:type="dxa"/>
            <w:tcBorders>
              <w:bottom w:val="single" w:sz="4" w:space="0" w:color="auto"/>
            </w:tcBorders>
          </w:tcPr>
          <w:p w14:paraId="29A2F16B" w14:textId="77777777" w:rsidR="00680984" w:rsidRDefault="00680984" w:rsidP="00680984">
            <w:pPr>
              <w:tabs>
                <w:tab w:val="left" w:pos="360"/>
                <w:tab w:val="left" w:pos="720"/>
              </w:tabs>
            </w:pPr>
          </w:p>
        </w:tc>
        <w:tc>
          <w:tcPr>
            <w:tcW w:w="1898" w:type="dxa"/>
            <w:tcBorders>
              <w:bottom w:val="single" w:sz="4" w:space="0" w:color="auto"/>
            </w:tcBorders>
          </w:tcPr>
          <w:p w14:paraId="6B147148" w14:textId="77777777" w:rsidR="00680984" w:rsidRDefault="00680984" w:rsidP="00680984">
            <w:pPr>
              <w:tabs>
                <w:tab w:val="left" w:pos="360"/>
                <w:tab w:val="left" w:pos="720"/>
              </w:tabs>
              <w:rPr>
                <w:b/>
              </w:rPr>
            </w:pPr>
            <w:r>
              <w:rPr>
                <w:b/>
              </w:rPr>
              <w:t>SUBJECT:</w:t>
            </w:r>
          </w:p>
        </w:tc>
        <w:tc>
          <w:tcPr>
            <w:tcW w:w="3233" w:type="dxa"/>
            <w:tcBorders>
              <w:bottom w:val="single" w:sz="4" w:space="0" w:color="auto"/>
            </w:tcBorders>
          </w:tcPr>
          <w:p w14:paraId="0A4AC814" w14:textId="1CC8E7B0" w:rsidR="00680984" w:rsidRDefault="00C746E5" w:rsidP="00680984">
            <w:pPr>
              <w:tabs>
                <w:tab w:val="left" w:pos="360"/>
                <w:tab w:val="left" w:pos="720"/>
              </w:tabs>
            </w:pPr>
            <w:r>
              <w:t>Accessibility Pol</w:t>
            </w:r>
            <w:r w:rsidR="00775917">
              <w:t>icy</w:t>
            </w:r>
          </w:p>
        </w:tc>
      </w:tr>
    </w:tbl>
    <w:p w14:paraId="6CEBD7BA" w14:textId="77777777" w:rsidR="00963B1B" w:rsidRDefault="00AE33FE" w:rsidP="00963B1B">
      <w:pPr>
        <w:tabs>
          <w:tab w:val="left" w:pos="360"/>
          <w:tab w:val="left" w:pos="720"/>
        </w:tabs>
        <w:spacing w:before="240"/>
        <w:rPr>
          <w:b/>
        </w:rPr>
      </w:pPr>
      <w:r w:rsidRPr="00746150">
        <w:rPr>
          <w:b/>
          <w:u w:val="single"/>
        </w:rPr>
        <w:t>POLICY STATEMENT AND STATEMENT OF COMMITMENT</w:t>
      </w:r>
      <w:r w:rsidRPr="00746150">
        <w:rPr>
          <w:b/>
        </w:rPr>
        <w:t>:</w:t>
      </w:r>
    </w:p>
    <w:p w14:paraId="721795C0" w14:textId="6D571D12" w:rsidR="00AE33FE" w:rsidRPr="00963B1B" w:rsidRDefault="00AE33FE" w:rsidP="00963B1B">
      <w:pPr>
        <w:pStyle w:val="Default"/>
        <w:spacing w:before="120"/>
        <w:rPr>
          <w:rFonts w:ascii="Arial" w:hAnsi="Arial" w:cs="Arial"/>
          <w:sz w:val="22"/>
          <w:szCs w:val="22"/>
        </w:rPr>
      </w:pPr>
      <w:bookmarkStart w:id="0" w:name="_Hlk126854866"/>
      <w:r w:rsidRPr="00847727">
        <w:rPr>
          <w:rFonts w:ascii="Arial" w:hAnsi="Arial" w:cs="Arial"/>
          <w:sz w:val="22"/>
          <w:szCs w:val="22"/>
        </w:rPr>
        <w:t>A</w:t>
      </w:r>
      <w:r>
        <w:rPr>
          <w:rFonts w:ascii="Arial" w:hAnsi="Arial" w:cs="Arial"/>
          <w:sz w:val="22"/>
          <w:szCs w:val="22"/>
        </w:rPr>
        <w:t>lgoma Public Health (APH)</w:t>
      </w:r>
      <w:r w:rsidRPr="00847727">
        <w:rPr>
          <w:rFonts w:ascii="Arial" w:hAnsi="Arial" w:cs="Arial"/>
          <w:sz w:val="22"/>
          <w:szCs w:val="22"/>
        </w:rPr>
        <w:t xml:space="preserve"> </w:t>
      </w:r>
      <w:r w:rsidR="00963B1B">
        <w:rPr>
          <w:rFonts w:cs="Arial"/>
          <w:szCs w:val="22"/>
        </w:rPr>
        <w:t>is</w:t>
      </w:r>
      <w:r w:rsidRPr="00847727">
        <w:rPr>
          <w:rFonts w:ascii="Arial" w:hAnsi="Arial" w:cs="Arial"/>
          <w:sz w:val="22"/>
          <w:szCs w:val="22"/>
        </w:rPr>
        <w:t xml:space="preserve"> committed to </w:t>
      </w:r>
      <w:bookmarkStart w:id="1" w:name="_Hlk126854900"/>
      <w:r w:rsidR="00AF3FEA">
        <w:rPr>
          <w:rFonts w:ascii="Arial" w:hAnsi="Arial" w:cs="Arial"/>
          <w:sz w:val="22"/>
          <w:szCs w:val="22"/>
        </w:rPr>
        <w:t>treating all people in a way that allows them to maintain their dignity and independence. We believe in integration and equal opportunity and are committed to meeting the needs of people with disabilities in a timely manner. W</w:t>
      </w:r>
      <w:r w:rsidR="00963B1B" w:rsidRPr="00963B1B">
        <w:rPr>
          <w:rFonts w:ascii="Arial" w:hAnsi="Arial" w:cs="Arial"/>
          <w:sz w:val="22"/>
          <w:szCs w:val="22"/>
        </w:rPr>
        <w:t xml:space="preserve">e will do so by preventing and removing barriers to accessibility and meeting accessibility requirements under the Accessibility for Ontarians with Disabilities Act (2005).   </w:t>
      </w:r>
    </w:p>
    <w:bookmarkEnd w:id="0"/>
    <w:bookmarkEnd w:id="1"/>
    <w:p w14:paraId="49053F6A" w14:textId="25276600" w:rsidR="004004E3" w:rsidRPr="00C746E5" w:rsidRDefault="004004E3" w:rsidP="004004E3">
      <w:pPr>
        <w:tabs>
          <w:tab w:val="left" w:pos="360"/>
          <w:tab w:val="left" w:pos="720"/>
        </w:tabs>
        <w:spacing w:before="240"/>
        <w:rPr>
          <w:b/>
        </w:rPr>
      </w:pPr>
      <w:r w:rsidRPr="004004E3">
        <w:rPr>
          <w:b/>
          <w:u w:val="single"/>
        </w:rPr>
        <w:t>P</w:t>
      </w:r>
      <w:r>
        <w:rPr>
          <w:b/>
          <w:u w:val="single"/>
        </w:rPr>
        <w:t>URPOSE</w:t>
      </w:r>
      <w:r w:rsidR="00C746E5" w:rsidRPr="00C746E5">
        <w:rPr>
          <w:b/>
        </w:rPr>
        <w:t>:</w:t>
      </w:r>
    </w:p>
    <w:p w14:paraId="67E47697" w14:textId="457465D0" w:rsidR="00CE0448" w:rsidRPr="00DF1CA6" w:rsidRDefault="00CE0448" w:rsidP="00CD2E9A">
      <w:pPr>
        <w:pStyle w:val="Default"/>
        <w:spacing w:before="120"/>
        <w:rPr>
          <w:rFonts w:ascii="Arial" w:hAnsi="Arial" w:cs="Arial"/>
          <w:sz w:val="22"/>
          <w:szCs w:val="22"/>
        </w:rPr>
      </w:pPr>
      <w:r>
        <w:rPr>
          <w:rFonts w:ascii="Arial" w:hAnsi="Arial" w:cs="Arial"/>
          <w:sz w:val="22"/>
          <w:szCs w:val="22"/>
        </w:rPr>
        <w:t xml:space="preserve">In compliance </w:t>
      </w:r>
      <w:r w:rsidRPr="00B342D2">
        <w:rPr>
          <w:rFonts w:ascii="Arial" w:hAnsi="Arial" w:cs="Arial"/>
          <w:sz w:val="22"/>
          <w:szCs w:val="22"/>
        </w:rPr>
        <w:t xml:space="preserve">with the </w:t>
      </w:r>
      <w:hyperlink r:id="rId13" w:history="1">
        <w:r w:rsidR="00B342D2" w:rsidRPr="004111D5">
          <w:rPr>
            <w:rStyle w:val="Hyperlink"/>
            <w:rFonts w:ascii="Arial" w:hAnsi="Arial" w:cs="Arial"/>
            <w:sz w:val="22"/>
            <w:szCs w:val="22"/>
            <w:shd w:val="clear" w:color="auto" w:fill="FFFFFF"/>
          </w:rPr>
          <w:t>Accessibility for Ontarians with Disabilities Act (AODA)</w:t>
        </w:r>
        <w:r w:rsidRPr="004111D5">
          <w:rPr>
            <w:rStyle w:val="Hyperlink"/>
            <w:rFonts w:ascii="Arial" w:hAnsi="Arial" w:cs="Arial"/>
            <w:sz w:val="22"/>
            <w:szCs w:val="22"/>
          </w:rPr>
          <w:t>, 2005</w:t>
        </w:r>
      </w:hyperlink>
      <w:r>
        <w:rPr>
          <w:rFonts w:ascii="Arial" w:hAnsi="Arial" w:cs="Arial"/>
          <w:sz w:val="22"/>
          <w:szCs w:val="22"/>
        </w:rPr>
        <w:t xml:space="preserve">, the purpose of this policy is to describe how </w:t>
      </w:r>
      <w:r w:rsidR="00AE33FE">
        <w:rPr>
          <w:rFonts w:ascii="Arial" w:hAnsi="Arial" w:cs="Arial"/>
          <w:sz w:val="22"/>
          <w:szCs w:val="22"/>
        </w:rPr>
        <w:t>APH</w:t>
      </w:r>
      <w:r>
        <w:rPr>
          <w:rFonts w:ascii="Arial" w:hAnsi="Arial" w:cs="Arial"/>
          <w:sz w:val="22"/>
          <w:szCs w:val="22"/>
        </w:rPr>
        <w:t xml:space="preserve"> will respond to </w:t>
      </w:r>
      <w:r w:rsidR="0060754C">
        <w:rPr>
          <w:rFonts w:ascii="Arial" w:hAnsi="Arial" w:cs="Arial"/>
          <w:sz w:val="22"/>
          <w:szCs w:val="22"/>
        </w:rPr>
        <w:t>our legislated</w:t>
      </w:r>
      <w:r>
        <w:rPr>
          <w:rFonts w:ascii="Arial" w:hAnsi="Arial" w:cs="Arial"/>
          <w:sz w:val="22"/>
          <w:szCs w:val="22"/>
        </w:rPr>
        <w:t xml:space="preserve"> obligations to identify, prevent and remove barriers for people with disabilities </w:t>
      </w:r>
      <w:r w:rsidR="00CB42DB">
        <w:rPr>
          <w:rFonts w:ascii="Arial" w:hAnsi="Arial" w:cs="Arial"/>
          <w:sz w:val="22"/>
          <w:szCs w:val="22"/>
        </w:rPr>
        <w:t xml:space="preserve">in our services, products and facilities </w:t>
      </w:r>
      <w:r>
        <w:rPr>
          <w:rFonts w:ascii="Arial" w:hAnsi="Arial" w:cs="Arial"/>
          <w:sz w:val="22"/>
          <w:szCs w:val="22"/>
        </w:rPr>
        <w:sym w:font="Symbol" w:char="F02D"/>
      </w:r>
      <w:r>
        <w:rPr>
          <w:rFonts w:ascii="Arial" w:hAnsi="Arial" w:cs="Arial"/>
          <w:sz w:val="22"/>
          <w:szCs w:val="22"/>
        </w:rPr>
        <w:t xml:space="preserve"> both internally in our organization, and in our interactions with our stakeholders and the public.</w:t>
      </w:r>
    </w:p>
    <w:p w14:paraId="6C61DE88" w14:textId="0AA75019" w:rsidR="004004E3" w:rsidRDefault="004004E3" w:rsidP="004004E3">
      <w:pPr>
        <w:tabs>
          <w:tab w:val="left" w:pos="360"/>
          <w:tab w:val="left" w:pos="720"/>
        </w:tabs>
        <w:spacing w:before="240"/>
        <w:rPr>
          <w:b/>
          <w:u w:val="single"/>
        </w:rPr>
      </w:pPr>
      <w:r w:rsidRPr="004004E3">
        <w:rPr>
          <w:b/>
          <w:u w:val="single"/>
        </w:rPr>
        <w:t>SCOPE</w:t>
      </w:r>
      <w:r w:rsidR="008A0FF1">
        <w:rPr>
          <w:b/>
          <w:u w:val="single"/>
        </w:rPr>
        <w:t xml:space="preserve"> / RESPONSIBILITY</w:t>
      </w:r>
      <w:r w:rsidR="00C746E5" w:rsidRPr="00C746E5">
        <w:rPr>
          <w:b/>
        </w:rPr>
        <w:t>:</w:t>
      </w:r>
      <w:r w:rsidRPr="00C746E5">
        <w:rPr>
          <w:b/>
        </w:rPr>
        <w:t xml:space="preserve"> </w:t>
      </w:r>
    </w:p>
    <w:p w14:paraId="7AFF5674" w14:textId="4000BE5E" w:rsidR="00AE33FE" w:rsidRPr="00D44B57" w:rsidRDefault="00AE33FE" w:rsidP="00CD2E9A">
      <w:pPr>
        <w:pStyle w:val="Default"/>
        <w:spacing w:before="120"/>
        <w:rPr>
          <w:rFonts w:ascii="Arial" w:hAnsi="Arial" w:cs="Arial"/>
          <w:sz w:val="22"/>
          <w:szCs w:val="22"/>
        </w:rPr>
      </w:pPr>
      <w:r w:rsidRPr="00AE33FE">
        <w:rPr>
          <w:rFonts w:ascii="Arial" w:hAnsi="Arial" w:cs="Arial"/>
          <w:sz w:val="22"/>
          <w:szCs w:val="22"/>
        </w:rPr>
        <w:t>The policy applies to all members of APH including every person who is an employee of, or a volunteer with APH, every person who participates in developing APH policies, and any member who provides services on behalf of the APH.</w:t>
      </w:r>
    </w:p>
    <w:p w14:paraId="05EDAF8A" w14:textId="0F5B8A7B" w:rsidR="008A0FF1" w:rsidRDefault="008A0FF1" w:rsidP="00CD2E9A">
      <w:pPr>
        <w:pStyle w:val="Default"/>
        <w:spacing w:before="120"/>
        <w:rPr>
          <w:rFonts w:ascii="Arial" w:hAnsi="Arial" w:cs="Arial"/>
          <w:sz w:val="22"/>
          <w:szCs w:val="22"/>
        </w:rPr>
      </w:pPr>
      <w:r w:rsidRPr="008A0FF1">
        <w:rPr>
          <w:rFonts w:ascii="Arial" w:hAnsi="Arial" w:cs="Arial"/>
          <w:sz w:val="22"/>
          <w:szCs w:val="22"/>
        </w:rPr>
        <w:t xml:space="preserve">The Board of Health </w:t>
      </w:r>
      <w:proofErr w:type="spellStart"/>
      <w:r w:rsidRPr="008A0FF1">
        <w:rPr>
          <w:rFonts w:ascii="Arial" w:hAnsi="Arial" w:cs="Arial"/>
          <w:sz w:val="22"/>
          <w:szCs w:val="22"/>
        </w:rPr>
        <w:t>endeavours</w:t>
      </w:r>
      <w:proofErr w:type="spellEnd"/>
      <w:r w:rsidRPr="008A0FF1">
        <w:rPr>
          <w:rFonts w:ascii="Arial" w:hAnsi="Arial" w:cs="Arial"/>
          <w:sz w:val="22"/>
          <w:szCs w:val="22"/>
        </w:rPr>
        <w:t xml:space="preserve"> to demonstrate leadership for accessibility in the organization. The Board of Health through the Medical Officer of Health/Executive Officer ensures that this policy is followed. The Board of Health is responsible to ensure the Medical Officer/Executive Officer implements the accessibility policies in order to meet the legislated requirements of the </w:t>
      </w:r>
      <w:hyperlink r:id="rId14" w:history="1">
        <w:r w:rsidRPr="001A48E6">
          <w:rPr>
            <w:rStyle w:val="Hyperlink"/>
            <w:rFonts w:ascii="Arial" w:hAnsi="Arial" w:cs="Arial"/>
            <w:sz w:val="22"/>
            <w:szCs w:val="22"/>
          </w:rPr>
          <w:t>Ontario Regulation 191/11 Integrated Accessibility Standards</w:t>
        </w:r>
      </w:hyperlink>
      <w:r w:rsidRPr="008A0FF1">
        <w:rPr>
          <w:rFonts w:ascii="Arial" w:hAnsi="Arial" w:cs="Arial"/>
          <w:sz w:val="22"/>
          <w:szCs w:val="22"/>
        </w:rPr>
        <w:t>.</w:t>
      </w:r>
    </w:p>
    <w:p w14:paraId="002FF08C" w14:textId="35CD75C5" w:rsidR="00AE33FE" w:rsidRPr="00AE33FE" w:rsidRDefault="00AE33FE" w:rsidP="00BA1F29">
      <w:pPr>
        <w:tabs>
          <w:tab w:val="left" w:pos="360"/>
          <w:tab w:val="left" w:pos="720"/>
        </w:tabs>
        <w:spacing w:before="240"/>
        <w:rPr>
          <w:b/>
        </w:rPr>
      </w:pPr>
      <w:r>
        <w:rPr>
          <w:b/>
          <w:u w:val="single"/>
        </w:rPr>
        <w:t>PROCEDURE</w:t>
      </w:r>
      <w:r w:rsidRPr="00AE33FE">
        <w:rPr>
          <w:b/>
        </w:rPr>
        <w:t>:</w:t>
      </w:r>
    </w:p>
    <w:p w14:paraId="10031AA9" w14:textId="240CBA64" w:rsidR="00AE33FE" w:rsidRDefault="00AE33FE" w:rsidP="00CD2E9A">
      <w:pPr>
        <w:tabs>
          <w:tab w:val="left" w:pos="360"/>
          <w:tab w:val="left" w:pos="720"/>
        </w:tabs>
      </w:pPr>
      <w:r>
        <w:t>APH strives to ensure an accessible environment for all persons with disabilities and will build upon and improve practices. In addition, APH ensures that it meets the accessibility needs of persons with disabilities in a timely manner, consistent with the specific requirements of the Act and its regulations. APH ensures compliance with the Integrated Accessibility Standards by ensuring time frames established by the Regulation are met.</w:t>
      </w:r>
    </w:p>
    <w:p w14:paraId="0A61A38E" w14:textId="7E744DF8" w:rsidR="00B907FE" w:rsidRDefault="00B907FE" w:rsidP="00CD2E9A">
      <w:pPr>
        <w:shd w:val="clear" w:color="auto" w:fill="FFFFFF"/>
        <w:rPr>
          <w:shd w:val="clear" w:color="auto" w:fill="FFFFFF"/>
        </w:rPr>
      </w:pPr>
      <w:r>
        <w:rPr>
          <w:rFonts w:cs="Arial"/>
          <w:color w:val="000000"/>
          <w:szCs w:val="22"/>
          <w:lang w:eastAsia="en-CA"/>
        </w:rPr>
        <w:t>T</w:t>
      </w:r>
      <w:r w:rsidRPr="00974E00">
        <w:rPr>
          <w:rFonts w:cs="Arial"/>
          <w:color w:val="000000"/>
          <w:szCs w:val="22"/>
          <w:lang w:eastAsia="en-CA"/>
        </w:rPr>
        <w:t>he IASR includes general information and requirements that apply to all the standards.</w:t>
      </w:r>
      <w:r>
        <w:rPr>
          <w:rFonts w:cs="Arial"/>
          <w:color w:val="000000"/>
          <w:szCs w:val="22"/>
          <w:lang w:eastAsia="en-CA"/>
        </w:rPr>
        <w:t xml:space="preserve"> In addition, the </w:t>
      </w:r>
      <w:r w:rsidRPr="001A48E6">
        <w:rPr>
          <w:rFonts w:cs="Arial"/>
          <w:szCs w:val="22"/>
          <w:shd w:val="clear" w:color="auto" w:fill="FFFFFF"/>
        </w:rPr>
        <w:t>Ontario Regulation 191/11: Integrated Accessibility Standards</w:t>
      </w:r>
      <w:r>
        <w:rPr>
          <w:rFonts w:cs="Arial"/>
          <w:szCs w:val="22"/>
        </w:rPr>
        <w:t xml:space="preserve"> </w:t>
      </w:r>
      <w:hyperlink w:anchor="IASR" w:history="1">
        <w:r w:rsidR="00746150" w:rsidRPr="00746150">
          <w:rPr>
            <w:rStyle w:val="Hyperlink"/>
            <w:rFonts w:cs="Arial"/>
            <w:szCs w:val="22"/>
          </w:rPr>
          <w:t>(IASR)</w:t>
        </w:r>
      </w:hyperlink>
      <w:r w:rsidR="00746150">
        <w:rPr>
          <w:rFonts w:cs="Arial"/>
          <w:szCs w:val="22"/>
        </w:rPr>
        <w:t xml:space="preserve"> </w:t>
      </w:r>
      <w:r>
        <w:rPr>
          <w:rFonts w:cs="Arial"/>
          <w:szCs w:val="22"/>
        </w:rPr>
        <w:t xml:space="preserve">has a </w:t>
      </w:r>
      <w:r>
        <w:rPr>
          <w:shd w:val="clear" w:color="auto" w:fill="FFFFFF"/>
        </w:rPr>
        <w:t>grouping of four standards that are also applicable to APH:</w:t>
      </w:r>
    </w:p>
    <w:p w14:paraId="5ECC2732" w14:textId="77777777" w:rsidR="00B907FE" w:rsidRPr="00486CC0" w:rsidRDefault="00B907FE">
      <w:pPr>
        <w:pStyle w:val="Default"/>
        <w:numPr>
          <w:ilvl w:val="0"/>
          <w:numId w:val="1"/>
        </w:numPr>
        <w:tabs>
          <w:tab w:val="left" w:pos="1800"/>
        </w:tabs>
        <w:spacing w:before="120"/>
        <w:rPr>
          <w:rFonts w:ascii="Arial" w:hAnsi="Arial" w:cs="Arial"/>
          <w:sz w:val="22"/>
          <w:szCs w:val="22"/>
        </w:rPr>
      </w:pPr>
      <w:hyperlink r:id="rId15" w:anchor="BK0" w:history="1">
        <w:r w:rsidRPr="00486CC0">
          <w:rPr>
            <w:rStyle w:val="Hyperlink"/>
            <w:rFonts w:ascii="Arial" w:hAnsi="Arial" w:cs="Arial"/>
            <w:sz w:val="22"/>
            <w:szCs w:val="22"/>
          </w:rPr>
          <w:t xml:space="preserve">Part I: </w:t>
        </w:r>
        <w:r w:rsidRPr="00486CC0">
          <w:rPr>
            <w:rStyle w:val="Hyperlink"/>
            <w:rFonts w:ascii="Arial" w:hAnsi="Arial" w:cs="Arial"/>
            <w:sz w:val="22"/>
            <w:szCs w:val="22"/>
          </w:rPr>
          <w:tab/>
          <w:t>General</w:t>
        </w:r>
      </w:hyperlink>
      <w:r w:rsidRPr="00486CC0">
        <w:rPr>
          <w:rStyle w:val="Hyperlink"/>
          <w:rFonts w:ascii="Arial" w:hAnsi="Arial" w:cs="Arial"/>
          <w:sz w:val="22"/>
          <w:szCs w:val="22"/>
        </w:rPr>
        <w:t xml:space="preserve"> AODA Requirements</w:t>
      </w:r>
    </w:p>
    <w:p w14:paraId="5908943C" w14:textId="77777777" w:rsidR="00B907FE" w:rsidRPr="00486CC0" w:rsidRDefault="00B907FE">
      <w:pPr>
        <w:pStyle w:val="Default"/>
        <w:numPr>
          <w:ilvl w:val="0"/>
          <w:numId w:val="1"/>
        </w:numPr>
        <w:tabs>
          <w:tab w:val="left" w:pos="1800"/>
        </w:tabs>
        <w:spacing w:before="120"/>
        <w:rPr>
          <w:rFonts w:ascii="Arial" w:hAnsi="Arial" w:cs="Arial"/>
          <w:sz w:val="22"/>
          <w:szCs w:val="22"/>
        </w:rPr>
      </w:pPr>
      <w:hyperlink r:id="rId16" w:anchor="BK8" w:history="1">
        <w:r w:rsidRPr="00486CC0">
          <w:rPr>
            <w:rStyle w:val="Hyperlink"/>
            <w:rFonts w:ascii="Arial" w:hAnsi="Arial" w:cs="Arial"/>
            <w:sz w:val="22"/>
            <w:szCs w:val="22"/>
          </w:rPr>
          <w:t xml:space="preserve">Part II: </w:t>
        </w:r>
        <w:r w:rsidRPr="00486CC0">
          <w:rPr>
            <w:rStyle w:val="Hyperlink"/>
            <w:rFonts w:ascii="Arial" w:hAnsi="Arial" w:cs="Arial"/>
            <w:sz w:val="22"/>
            <w:szCs w:val="22"/>
          </w:rPr>
          <w:tab/>
          <w:t>Information and Communications Standards</w:t>
        </w:r>
      </w:hyperlink>
    </w:p>
    <w:p w14:paraId="392BB14A" w14:textId="77777777" w:rsidR="00B907FE" w:rsidRPr="00486CC0" w:rsidRDefault="00B907FE" w:rsidP="00BB2DA3">
      <w:pPr>
        <w:pStyle w:val="Default"/>
        <w:numPr>
          <w:ilvl w:val="0"/>
          <w:numId w:val="1"/>
        </w:numPr>
        <w:tabs>
          <w:tab w:val="left" w:pos="360"/>
          <w:tab w:val="left" w:pos="1800"/>
        </w:tabs>
        <w:spacing w:before="120"/>
        <w:rPr>
          <w:rFonts w:ascii="Arial" w:hAnsi="Arial" w:cs="Arial"/>
          <w:sz w:val="22"/>
          <w:szCs w:val="22"/>
        </w:rPr>
      </w:pPr>
      <w:hyperlink r:id="rId17" w:anchor="BK20" w:history="1">
        <w:r w:rsidRPr="00486CC0">
          <w:rPr>
            <w:rStyle w:val="Hyperlink"/>
            <w:rFonts w:ascii="Arial" w:hAnsi="Arial" w:cs="Arial"/>
            <w:sz w:val="22"/>
            <w:szCs w:val="22"/>
          </w:rPr>
          <w:t xml:space="preserve">Part III: </w:t>
        </w:r>
        <w:r w:rsidRPr="00486CC0">
          <w:rPr>
            <w:rStyle w:val="Hyperlink"/>
            <w:rFonts w:ascii="Arial" w:hAnsi="Arial" w:cs="Arial"/>
            <w:sz w:val="22"/>
            <w:szCs w:val="22"/>
          </w:rPr>
          <w:tab/>
          <w:t>Employment Standards</w:t>
        </w:r>
      </w:hyperlink>
    </w:p>
    <w:p w14:paraId="5C3D4883" w14:textId="77777777" w:rsidR="00B907FE" w:rsidRPr="00486CC0" w:rsidRDefault="00B907FE">
      <w:pPr>
        <w:pStyle w:val="Default"/>
        <w:numPr>
          <w:ilvl w:val="0"/>
          <w:numId w:val="1"/>
        </w:numPr>
        <w:tabs>
          <w:tab w:val="left" w:pos="1800"/>
        </w:tabs>
        <w:spacing w:before="120"/>
        <w:rPr>
          <w:rFonts w:ascii="Arial" w:hAnsi="Arial" w:cs="Arial"/>
          <w:sz w:val="22"/>
          <w:szCs w:val="22"/>
        </w:rPr>
      </w:pPr>
      <w:hyperlink r:id="rId18" w:anchor="BK91" w:history="1">
        <w:r w:rsidRPr="00486CC0">
          <w:rPr>
            <w:rStyle w:val="Hyperlink"/>
            <w:rFonts w:ascii="Arial" w:hAnsi="Arial" w:cs="Arial"/>
            <w:sz w:val="22"/>
            <w:szCs w:val="22"/>
          </w:rPr>
          <w:t xml:space="preserve">Part IV.1: </w:t>
        </w:r>
        <w:r w:rsidRPr="00486CC0">
          <w:rPr>
            <w:rStyle w:val="Hyperlink"/>
            <w:rFonts w:ascii="Arial" w:hAnsi="Arial" w:cs="Arial"/>
            <w:sz w:val="22"/>
            <w:szCs w:val="22"/>
          </w:rPr>
          <w:tab/>
          <w:t>Design of Public Spaces (Accessibility Standards for the Built Environment)</w:t>
        </w:r>
      </w:hyperlink>
    </w:p>
    <w:p w14:paraId="3613A142" w14:textId="57535642" w:rsidR="00B907FE" w:rsidRPr="00486CC0" w:rsidRDefault="00B907FE">
      <w:pPr>
        <w:pStyle w:val="Default"/>
        <w:numPr>
          <w:ilvl w:val="0"/>
          <w:numId w:val="1"/>
        </w:numPr>
        <w:tabs>
          <w:tab w:val="left" w:pos="1800"/>
        </w:tabs>
        <w:spacing w:before="120"/>
        <w:rPr>
          <w:rFonts w:ascii="Arial" w:hAnsi="Arial" w:cs="Arial"/>
          <w:sz w:val="22"/>
          <w:szCs w:val="22"/>
        </w:rPr>
      </w:pPr>
      <w:hyperlink r:id="rId19" w:anchor="BK148" w:history="1">
        <w:r w:rsidRPr="00486CC0">
          <w:rPr>
            <w:rStyle w:val="Hyperlink"/>
            <w:rFonts w:ascii="Arial" w:hAnsi="Arial" w:cs="Arial"/>
            <w:sz w:val="22"/>
            <w:szCs w:val="22"/>
          </w:rPr>
          <w:t>Part IV.</w:t>
        </w:r>
        <w:r w:rsidR="009B569A">
          <w:rPr>
            <w:rStyle w:val="Hyperlink"/>
            <w:rFonts w:ascii="Arial" w:hAnsi="Arial" w:cs="Arial"/>
            <w:sz w:val="22"/>
            <w:szCs w:val="22"/>
          </w:rPr>
          <w:t>2</w:t>
        </w:r>
        <w:r w:rsidRPr="00486CC0">
          <w:rPr>
            <w:rStyle w:val="Hyperlink"/>
            <w:rFonts w:ascii="Arial" w:hAnsi="Arial" w:cs="Arial"/>
            <w:sz w:val="22"/>
            <w:szCs w:val="22"/>
          </w:rPr>
          <w:t xml:space="preserve">: </w:t>
        </w:r>
        <w:r w:rsidRPr="00486CC0">
          <w:rPr>
            <w:rStyle w:val="Hyperlink"/>
            <w:rFonts w:ascii="Arial" w:hAnsi="Arial" w:cs="Arial"/>
            <w:sz w:val="22"/>
            <w:szCs w:val="22"/>
          </w:rPr>
          <w:tab/>
          <w:t>Customer Service Standards</w:t>
        </w:r>
      </w:hyperlink>
    </w:p>
    <w:p w14:paraId="17574793" w14:textId="08BC9798" w:rsidR="00B907FE" w:rsidRDefault="00B907FE" w:rsidP="00CD2E9A">
      <w:pPr>
        <w:shd w:val="clear" w:color="auto" w:fill="FFFFFF"/>
        <w:rPr>
          <w:rFonts w:cs="Arial"/>
          <w:color w:val="000000"/>
          <w:szCs w:val="22"/>
          <w:lang w:eastAsia="en-CA"/>
        </w:rPr>
      </w:pPr>
      <w:r w:rsidRPr="00974E00">
        <w:rPr>
          <w:rFonts w:cs="Arial"/>
          <w:color w:val="000000"/>
          <w:szCs w:val="22"/>
          <w:lang w:eastAsia="en-CA"/>
        </w:rPr>
        <w:lastRenderedPageBreak/>
        <w:t xml:space="preserve">The </w:t>
      </w:r>
      <w:r w:rsidRPr="00746150">
        <w:rPr>
          <w:rFonts w:cs="Arial"/>
          <w:szCs w:val="22"/>
          <w:lang w:eastAsia="en-CA"/>
        </w:rPr>
        <w:t>IASR</w:t>
      </w:r>
      <w:r w:rsidRPr="00974E00">
        <w:rPr>
          <w:rFonts w:cs="Arial"/>
          <w:color w:val="000000"/>
          <w:szCs w:val="22"/>
          <w:lang w:eastAsia="en-CA"/>
        </w:rPr>
        <w:t xml:space="preserve"> requirements are not a replacement for the </w:t>
      </w:r>
      <w:hyperlink r:id="rId20" w:history="1">
        <w:r>
          <w:rPr>
            <w:rStyle w:val="Hyperlink"/>
            <w:rFonts w:cs="Arial"/>
            <w:szCs w:val="22"/>
            <w:lang w:eastAsia="en-CA"/>
          </w:rPr>
          <w:t>Ontario H</w:t>
        </w:r>
        <w:r w:rsidRPr="00485BF4">
          <w:rPr>
            <w:rStyle w:val="Hyperlink"/>
            <w:rFonts w:cs="Arial"/>
            <w:szCs w:val="22"/>
            <w:lang w:eastAsia="en-CA"/>
          </w:rPr>
          <w:t>uman Rights Code</w:t>
        </w:r>
      </w:hyperlink>
      <w:r w:rsidRPr="00974E00">
        <w:rPr>
          <w:rFonts w:cs="Arial"/>
          <w:color w:val="000000"/>
          <w:szCs w:val="22"/>
          <w:lang w:eastAsia="en-CA"/>
        </w:rPr>
        <w:t xml:space="preserve"> requirements and they do not limit obligations under any other legislation. Therefore, if two laws conflict with one another, the law that provides the higher level of accessibility is the law that must be followed.</w:t>
      </w:r>
    </w:p>
    <w:p w14:paraId="36A79737" w14:textId="7ED8113D" w:rsidR="00B907FE" w:rsidRPr="00DF121E" w:rsidRDefault="00B907FE" w:rsidP="00DF121E">
      <w:pPr>
        <w:pStyle w:val="ListParagraph"/>
        <w:numPr>
          <w:ilvl w:val="0"/>
          <w:numId w:val="20"/>
        </w:numPr>
        <w:tabs>
          <w:tab w:val="left" w:pos="360"/>
          <w:tab w:val="left" w:pos="720"/>
        </w:tabs>
        <w:spacing w:before="240"/>
        <w:rPr>
          <w:b/>
          <w:u w:val="single"/>
        </w:rPr>
      </w:pPr>
      <w:r w:rsidRPr="00DF121E">
        <w:rPr>
          <w:b/>
          <w:u w:val="single"/>
        </w:rPr>
        <w:t>GENERAL REQUIREMENTS</w:t>
      </w:r>
      <w:r w:rsidRPr="00E0251D">
        <w:rPr>
          <w:b/>
        </w:rPr>
        <w:t>:</w:t>
      </w:r>
    </w:p>
    <w:p w14:paraId="16DB1289" w14:textId="03A276D1" w:rsidR="001A2FF8" w:rsidRDefault="00D845AC" w:rsidP="000308C3">
      <w:pPr>
        <w:pStyle w:val="StyleHeading3LatinArial11ptBoldCustomColorRGB777"/>
      </w:pPr>
      <w:r>
        <w:t>1.1</w:t>
      </w:r>
      <w:r>
        <w:tab/>
      </w:r>
      <w:r w:rsidR="001A2FF8" w:rsidRPr="003D74FC">
        <w:t>Accessibility Plan</w:t>
      </w:r>
    </w:p>
    <w:p w14:paraId="6DF3DDF8" w14:textId="77777777" w:rsidR="001A2FF8" w:rsidRDefault="001A2FF8" w:rsidP="00D61C97">
      <w:pPr>
        <w:ind w:left="810"/>
      </w:pPr>
      <w:r>
        <w:t xml:space="preserve">To meet its requirements under the Regulation, APH has an accessibility plan outlining </w:t>
      </w:r>
      <w:proofErr w:type="spellStart"/>
      <w:proofErr w:type="gramStart"/>
      <w:r>
        <w:t>it’s</w:t>
      </w:r>
      <w:proofErr w:type="spellEnd"/>
      <w:proofErr w:type="gramEnd"/>
      <w:r>
        <w:t xml:space="preserve"> strategy to prevent and remove barriers from its workplace. APH’s responsibility is to: </w:t>
      </w:r>
    </w:p>
    <w:p w14:paraId="073A2776" w14:textId="38543CDD" w:rsidR="001A2FF8" w:rsidRDefault="001A2FF8" w:rsidP="00D61C97">
      <w:pPr>
        <w:pStyle w:val="ListParagraph"/>
        <w:numPr>
          <w:ilvl w:val="0"/>
          <w:numId w:val="5"/>
        </w:numPr>
        <w:shd w:val="clear" w:color="auto" w:fill="FFFFFF"/>
        <w:tabs>
          <w:tab w:val="clear" w:pos="1710"/>
        </w:tabs>
        <w:ind w:left="1170" w:hanging="360"/>
        <w:rPr>
          <w:rFonts w:cs="Arial"/>
          <w:color w:val="000000"/>
          <w:szCs w:val="22"/>
          <w:lang w:eastAsia="en-CA"/>
        </w:rPr>
      </w:pPr>
      <w:r w:rsidRPr="003D74FC">
        <w:rPr>
          <w:rFonts w:cs="Arial"/>
          <w:color w:val="000000"/>
          <w:szCs w:val="22"/>
          <w:lang w:eastAsia="en-CA"/>
        </w:rPr>
        <w:t xml:space="preserve">post the </w:t>
      </w:r>
      <w:r w:rsidR="00D61C97">
        <w:rPr>
          <w:rFonts w:cs="Arial"/>
          <w:color w:val="000000"/>
          <w:szCs w:val="22"/>
          <w:lang w:eastAsia="en-CA"/>
        </w:rPr>
        <w:t>a</w:t>
      </w:r>
      <w:r w:rsidRPr="003D74FC">
        <w:rPr>
          <w:rFonts w:cs="Arial"/>
          <w:color w:val="000000"/>
          <w:szCs w:val="22"/>
          <w:lang w:eastAsia="en-CA"/>
        </w:rPr>
        <w:t xml:space="preserve">ccessibility </w:t>
      </w:r>
      <w:r w:rsidR="00D61C97">
        <w:rPr>
          <w:rFonts w:cs="Arial"/>
          <w:color w:val="000000"/>
          <w:szCs w:val="22"/>
          <w:lang w:eastAsia="en-CA"/>
        </w:rPr>
        <w:t>p</w:t>
      </w:r>
      <w:r w:rsidRPr="003D74FC">
        <w:rPr>
          <w:rFonts w:cs="Arial"/>
          <w:color w:val="000000"/>
          <w:szCs w:val="22"/>
          <w:lang w:eastAsia="en-CA"/>
        </w:rPr>
        <w:t xml:space="preserve">lan on its website and provide the </w:t>
      </w:r>
      <w:r w:rsidR="00D61C97">
        <w:rPr>
          <w:rFonts w:cs="Arial"/>
          <w:color w:val="000000"/>
          <w:szCs w:val="22"/>
          <w:lang w:eastAsia="en-CA"/>
        </w:rPr>
        <w:t>a</w:t>
      </w:r>
      <w:r w:rsidRPr="003D74FC">
        <w:rPr>
          <w:rFonts w:cs="Arial"/>
          <w:color w:val="000000"/>
          <w:szCs w:val="22"/>
          <w:lang w:eastAsia="en-CA"/>
        </w:rPr>
        <w:t xml:space="preserve">ccessibility </w:t>
      </w:r>
      <w:r w:rsidR="00D61C97">
        <w:rPr>
          <w:rFonts w:cs="Arial"/>
          <w:color w:val="000000"/>
          <w:szCs w:val="22"/>
          <w:lang w:eastAsia="en-CA"/>
        </w:rPr>
        <w:t>p</w:t>
      </w:r>
      <w:r w:rsidRPr="003D74FC">
        <w:rPr>
          <w:rFonts w:cs="Arial"/>
          <w:color w:val="000000"/>
          <w:szCs w:val="22"/>
          <w:lang w:eastAsia="en-CA"/>
        </w:rPr>
        <w:t xml:space="preserve">lan in an </w:t>
      </w:r>
      <w:r w:rsidR="00D61C97">
        <w:rPr>
          <w:rFonts w:cs="Arial"/>
          <w:color w:val="000000"/>
          <w:szCs w:val="22"/>
          <w:lang w:eastAsia="en-CA"/>
        </w:rPr>
        <w:t>a</w:t>
      </w:r>
      <w:r w:rsidRPr="003D74FC">
        <w:rPr>
          <w:rFonts w:cs="Arial"/>
          <w:color w:val="000000"/>
          <w:szCs w:val="22"/>
          <w:lang w:eastAsia="en-CA"/>
        </w:rPr>
        <w:t xml:space="preserve">ccessible </w:t>
      </w:r>
      <w:r w:rsidR="00D61C97">
        <w:rPr>
          <w:rFonts w:cs="Arial"/>
          <w:color w:val="000000"/>
          <w:szCs w:val="22"/>
          <w:lang w:eastAsia="en-CA"/>
        </w:rPr>
        <w:t>f</w:t>
      </w:r>
      <w:r w:rsidRPr="003D74FC">
        <w:rPr>
          <w:rFonts w:cs="Arial"/>
          <w:color w:val="000000"/>
          <w:szCs w:val="22"/>
          <w:lang w:eastAsia="en-CA"/>
        </w:rPr>
        <w:t xml:space="preserve">ormat upon </w:t>
      </w:r>
      <w:proofErr w:type="gramStart"/>
      <w:r w:rsidRPr="003D74FC">
        <w:rPr>
          <w:rFonts w:cs="Arial"/>
          <w:color w:val="000000"/>
          <w:szCs w:val="22"/>
          <w:lang w:eastAsia="en-CA"/>
        </w:rPr>
        <w:t>request</w:t>
      </w:r>
      <w:r>
        <w:rPr>
          <w:rFonts w:cs="Arial"/>
          <w:color w:val="000000"/>
          <w:szCs w:val="22"/>
          <w:lang w:eastAsia="en-CA"/>
        </w:rPr>
        <w:t>;</w:t>
      </w:r>
      <w:proofErr w:type="gramEnd"/>
    </w:p>
    <w:p w14:paraId="5D088939" w14:textId="242770BA" w:rsidR="001A2FF8" w:rsidRDefault="001A2FF8" w:rsidP="00D61C97">
      <w:pPr>
        <w:pStyle w:val="ListParagraph"/>
        <w:numPr>
          <w:ilvl w:val="0"/>
          <w:numId w:val="5"/>
        </w:numPr>
        <w:shd w:val="clear" w:color="auto" w:fill="FFFFFF"/>
        <w:tabs>
          <w:tab w:val="clear" w:pos="1710"/>
        </w:tabs>
        <w:ind w:left="1170" w:hanging="360"/>
        <w:rPr>
          <w:rFonts w:cs="Arial"/>
          <w:color w:val="000000"/>
          <w:szCs w:val="22"/>
          <w:lang w:eastAsia="en-CA"/>
        </w:rPr>
      </w:pPr>
      <w:r w:rsidRPr="003D74FC">
        <w:rPr>
          <w:rFonts w:cs="Arial"/>
          <w:color w:val="000000"/>
          <w:szCs w:val="22"/>
          <w:lang w:eastAsia="en-CA"/>
        </w:rPr>
        <w:t xml:space="preserve">prepare an annual status report on the measures taken to implement the </w:t>
      </w:r>
      <w:r w:rsidR="00D61C97">
        <w:rPr>
          <w:rFonts w:cs="Arial"/>
          <w:color w:val="000000"/>
          <w:szCs w:val="22"/>
          <w:lang w:eastAsia="en-CA"/>
        </w:rPr>
        <w:t>a</w:t>
      </w:r>
      <w:r w:rsidRPr="003D74FC">
        <w:rPr>
          <w:rFonts w:cs="Arial"/>
          <w:color w:val="000000"/>
          <w:szCs w:val="22"/>
          <w:lang w:eastAsia="en-CA"/>
        </w:rPr>
        <w:t xml:space="preserve">ccessibility </w:t>
      </w:r>
      <w:r w:rsidR="00D61C97">
        <w:rPr>
          <w:rFonts w:cs="Arial"/>
          <w:color w:val="000000"/>
          <w:szCs w:val="22"/>
          <w:lang w:eastAsia="en-CA"/>
        </w:rPr>
        <w:t>p</w:t>
      </w:r>
      <w:r w:rsidRPr="003D74FC">
        <w:rPr>
          <w:rFonts w:cs="Arial"/>
          <w:color w:val="000000"/>
          <w:szCs w:val="22"/>
          <w:lang w:eastAsia="en-CA"/>
        </w:rPr>
        <w:t>lan</w:t>
      </w:r>
      <w:r>
        <w:rPr>
          <w:rFonts w:cs="Arial"/>
          <w:color w:val="000000"/>
          <w:szCs w:val="22"/>
          <w:lang w:eastAsia="en-CA"/>
        </w:rPr>
        <w:t>,</w:t>
      </w:r>
      <w:r w:rsidRPr="003D74FC">
        <w:rPr>
          <w:rFonts w:cs="Arial"/>
          <w:color w:val="000000"/>
          <w:szCs w:val="22"/>
          <w:lang w:eastAsia="en-CA"/>
        </w:rPr>
        <w:t xml:space="preserve"> and post the report on its website</w:t>
      </w:r>
      <w:r>
        <w:rPr>
          <w:rFonts w:cs="Arial"/>
          <w:color w:val="000000"/>
          <w:szCs w:val="22"/>
          <w:lang w:eastAsia="en-CA"/>
        </w:rPr>
        <w:t>, and</w:t>
      </w:r>
    </w:p>
    <w:p w14:paraId="2B852F69" w14:textId="2F8B692B" w:rsidR="001A2FF8" w:rsidRPr="003D74FC" w:rsidRDefault="001A2FF8" w:rsidP="00D61C97">
      <w:pPr>
        <w:pStyle w:val="ListParagraph"/>
        <w:numPr>
          <w:ilvl w:val="0"/>
          <w:numId w:val="5"/>
        </w:numPr>
        <w:shd w:val="clear" w:color="auto" w:fill="FFFFFF"/>
        <w:tabs>
          <w:tab w:val="clear" w:pos="1710"/>
        </w:tabs>
        <w:ind w:left="1170" w:hanging="360"/>
        <w:rPr>
          <w:rFonts w:cs="Arial"/>
          <w:color w:val="000000"/>
          <w:szCs w:val="22"/>
          <w:lang w:eastAsia="en-CA"/>
        </w:rPr>
      </w:pPr>
      <w:r w:rsidRPr="003D74FC">
        <w:rPr>
          <w:rFonts w:cs="Arial"/>
          <w:color w:val="000000"/>
          <w:szCs w:val="22"/>
          <w:lang w:eastAsia="en-CA"/>
        </w:rPr>
        <w:t xml:space="preserve">review and update the </w:t>
      </w:r>
      <w:r w:rsidR="000A1010">
        <w:rPr>
          <w:rFonts w:cs="Arial"/>
          <w:color w:val="000000"/>
          <w:szCs w:val="22"/>
          <w:lang w:eastAsia="en-CA"/>
        </w:rPr>
        <w:t>a</w:t>
      </w:r>
      <w:r w:rsidRPr="003D74FC">
        <w:rPr>
          <w:rFonts w:cs="Arial"/>
          <w:color w:val="000000"/>
          <w:szCs w:val="22"/>
          <w:lang w:eastAsia="en-CA"/>
        </w:rPr>
        <w:t xml:space="preserve">ccessibility </w:t>
      </w:r>
      <w:r w:rsidR="000A1010">
        <w:rPr>
          <w:rFonts w:cs="Arial"/>
          <w:color w:val="000000"/>
          <w:szCs w:val="22"/>
          <w:lang w:eastAsia="en-CA"/>
        </w:rPr>
        <w:t>p</w:t>
      </w:r>
      <w:r w:rsidRPr="003D74FC">
        <w:rPr>
          <w:rFonts w:cs="Arial"/>
          <w:color w:val="000000"/>
          <w:szCs w:val="22"/>
          <w:lang w:eastAsia="en-CA"/>
        </w:rPr>
        <w:t>lan at least every five (5) years and in consultation with persons with disabilities.</w:t>
      </w:r>
    </w:p>
    <w:p w14:paraId="717DC1C8" w14:textId="52F2F0B4" w:rsidR="001A2FF8" w:rsidRPr="005D5729" w:rsidRDefault="00D845AC" w:rsidP="000308C3">
      <w:pPr>
        <w:pStyle w:val="StyleHeading3LatinArial11ptBoldCustomColorRGB777"/>
      </w:pPr>
      <w:r>
        <w:t>1.2</w:t>
      </w:r>
      <w:r>
        <w:tab/>
      </w:r>
      <w:r w:rsidR="001A2FF8" w:rsidRPr="005D5729">
        <w:t>Training</w:t>
      </w:r>
    </w:p>
    <w:p w14:paraId="007FFC9D" w14:textId="6E2D4273" w:rsidR="001A2FF8" w:rsidRPr="00C208AA" w:rsidRDefault="001A2FF8" w:rsidP="000A1010">
      <w:pPr>
        <w:ind w:left="810"/>
      </w:pPr>
      <w:r w:rsidRPr="00C208AA">
        <w:t xml:space="preserve">APH </w:t>
      </w:r>
      <w:r w:rsidR="00B907FE" w:rsidRPr="00C208AA">
        <w:t>provides training</w:t>
      </w:r>
      <w:r w:rsidRPr="00C208AA">
        <w:t xml:space="preserve"> on the requirements of the IASR </w:t>
      </w:r>
      <w:r w:rsidR="00B907FE" w:rsidRPr="00C208AA">
        <w:t xml:space="preserve">and also on </w:t>
      </w:r>
      <w:r w:rsidRPr="00C208AA">
        <w:t>Ontario Human Rights Code as it pertains to persons with disabilities</w:t>
      </w:r>
      <w:r w:rsidR="00B907FE" w:rsidRPr="00C208AA">
        <w:t xml:space="preserve"> to those referred to in the Scope</w:t>
      </w:r>
      <w:r w:rsidR="00C54906">
        <w:t xml:space="preserve"> / Responsibility</w:t>
      </w:r>
      <w:r w:rsidR="00B907FE" w:rsidRPr="00C208AA">
        <w:t xml:space="preserve"> section.</w:t>
      </w:r>
    </w:p>
    <w:p w14:paraId="490AB653" w14:textId="6DCDA926" w:rsidR="001A2FF8" w:rsidRPr="00C208AA" w:rsidRDefault="001A2FF8" w:rsidP="000A1010">
      <w:pPr>
        <w:ind w:left="810"/>
      </w:pPr>
      <w:r w:rsidRPr="00C208AA">
        <w:t xml:space="preserve">Training will be appropriate to the duties </w:t>
      </w:r>
      <w:r w:rsidR="00B907FE" w:rsidRPr="00C208AA">
        <w:t xml:space="preserve">of the employees, volunteers, </w:t>
      </w:r>
      <w:r w:rsidRPr="00C208AA">
        <w:t>and</w:t>
      </w:r>
      <w:r w:rsidR="00B907FE" w:rsidRPr="00C208AA">
        <w:t xml:space="preserve"> other persons and</w:t>
      </w:r>
      <w:r w:rsidRPr="00C208AA">
        <w:t xml:space="preserve"> will be provided as soon as practicable. </w:t>
      </w:r>
    </w:p>
    <w:p w14:paraId="6CA8D914" w14:textId="77777777" w:rsidR="00B907FE" w:rsidRPr="00C208AA" w:rsidRDefault="00B907FE" w:rsidP="000A1010">
      <w:pPr>
        <w:ind w:left="810"/>
      </w:pPr>
      <w:r w:rsidRPr="00C208AA">
        <w:t xml:space="preserve">Training is provided in respect of any changes to the accessibility policies/standards </w:t>
      </w:r>
      <w:r w:rsidR="001A2FF8" w:rsidRPr="00C208AA">
        <w:t xml:space="preserve">on an ongoing basis. </w:t>
      </w:r>
    </w:p>
    <w:p w14:paraId="19CB7FA9" w14:textId="55AD191A" w:rsidR="001A2FF8" w:rsidRPr="00C208AA" w:rsidRDefault="00B907FE" w:rsidP="000A1010">
      <w:pPr>
        <w:ind w:left="810"/>
      </w:pPr>
      <w:r>
        <w:t>Records of the training provided are kept, which include the dates on which the training is provided and the individuals to whom it is provided.</w:t>
      </w:r>
    </w:p>
    <w:p w14:paraId="24AA0D4B" w14:textId="3B6D41D7" w:rsidR="00985981" w:rsidRPr="005D5729" w:rsidRDefault="00D845AC" w:rsidP="000308C3">
      <w:pPr>
        <w:pStyle w:val="StyleHeading3LatinArial11ptBoldCustomColorRGB777"/>
      </w:pPr>
      <w:r>
        <w:t>1.3</w:t>
      </w:r>
      <w:r w:rsidR="00172DEA">
        <w:tab/>
      </w:r>
      <w:r w:rsidR="00576F8D">
        <w:t xml:space="preserve">Accessible </w:t>
      </w:r>
      <w:r w:rsidR="00985981" w:rsidRPr="005D5729">
        <w:t>Procurement</w:t>
      </w:r>
    </w:p>
    <w:p w14:paraId="2ACCC12D" w14:textId="03275F55" w:rsidR="00985981" w:rsidRPr="0069764C" w:rsidRDefault="00DE3613" w:rsidP="0069764C">
      <w:pPr>
        <w:ind w:left="810"/>
      </w:pPr>
      <w:r w:rsidRPr="0069764C">
        <w:t>APH</w:t>
      </w:r>
      <w:r w:rsidR="00985981" w:rsidRPr="0069764C">
        <w:t xml:space="preserve"> ensure</w:t>
      </w:r>
      <w:r w:rsidR="000A1010" w:rsidRPr="0069764C">
        <w:t>s</w:t>
      </w:r>
      <w:r w:rsidR="00985981" w:rsidRPr="0069764C">
        <w:t xml:space="preserve"> that </w:t>
      </w:r>
      <w:r w:rsidRPr="0069764C">
        <w:t>APH</w:t>
      </w:r>
      <w:r w:rsidR="00985981" w:rsidRPr="0069764C">
        <w:t xml:space="preserve">’s procurement processes incorporate accessibility design, criteria and features, except where it is not practicable to do so. Where it is impracticable to incorporate accessibility into the procurement process, </w:t>
      </w:r>
      <w:r w:rsidRPr="0069764C">
        <w:t>APH</w:t>
      </w:r>
      <w:r w:rsidR="00985981" w:rsidRPr="0069764C">
        <w:t xml:space="preserve"> will provide an explanation upon request.</w:t>
      </w:r>
    </w:p>
    <w:p w14:paraId="65696501" w14:textId="45D01C08" w:rsidR="00985981" w:rsidRPr="00DF121E" w:rsidRDefault="00A71D64" w:rsidP="00DF121E">
      <w:pPr>
        <w:pStyle w:val="ListParagraph"/>
        <w:numPr>
          <w:ilvl w:val="0"/>
          <w:numId w:val="20"/>
        </w:numPr>
        <w:tabs>
          <w:tab w:val="left" w:pos="360"/>
          <w:tab w:val="left" w:pos="720"/>
        </w:tabs>
        <w:spacing w:before="240"/>
        <w:rPr>
          <w:b/>
          <w:u w:val="single"/>
        </w:rPr>
      </w:pPr>
      <w:r w:rsidRPr="00DF121E">
        <w:rPr>
          <w:b/>
          <w:u w:val="single"/>
        </w:rPr>
        <w:t>INFORMATION AND COMMUNICATIONS</w:t>
      </w:r>
      <w:r w:rsidRPr="009B569A">
        <w:rPr>
          <w:b/>
        </w:rPr>
        <w:t>:</w:t>
      </w:r>
    </w:p>
    <w:p w14:paraId="1DD64D29" w14:textId="4B5D81B7" w:rsidR="0069764C" w:rsidRPr="000305C9" w:rsidRDefault="00D845AC" w:rsidP="000308C3">
      <w:pPr>
        <w:pStyle w:val="StyleHeading3LatinArial11ptBoldCustomColorRGB777"/>
      </w:pPr>
      <w:r>
        <w:t xml:space="preserve">2.1 </w:t>
      </w:r>
      <w:r w:rsidR="0069764C" w:rsidRPr="000305C9">
        <w:t>Feedback</w:t>
      </w:r>
    </w:p>
    <w:p w14:paraId="415AEF31" w14:textId="77777777" w:rsidR="0069764C" w:rsidRPr="00C714A2" w:rsidRDefault="0069764C" w:rsidP="0069764C">
      <w:pPr>
        <w:pStyle w:val="NormalWeb"/>
        <w:numPr>
          <w:ilvl w:val="0"/>
          <w:numId w:val="27"/>
        </w:numPr>
        <w:spacing w:before="120" w:beforeAutospacing="0" w:after="0" w:afterAutospacing="0"/>
        <w:textAlignment w:val="baseline"/>
        <w:rPr>
          <w:rFonts w:cs="Arial"/>
          <w:color w:val="000000" w:themeColor="text1"/>
          <w:sz w:val="22"/>
          <w:szCs w:val="22"/>
        </w:rPr>
      </w:pPr>
      <w:r w:rsidRPr="00C714A2">
        <w:rPr>
          <w:rFonts w:cs="Arial"/>
          <w:color w:val="000000" w:themeColor="text1"/>
          <w:sz w:val="22"/>
          <w:szCs w:val="22"/>
        </w:rPr>
        <w:t>APH’s responsibility is to ensure that the process for receiving and responding to feedback is accessible to persons with disabilities by providing, or arranging for the provisions of, accessible formats and communication supports, upon request.</w:t>
      </w:r>
    </w:p>
    <w:p w14:paraId="589707B6" w14:textId="77777777" w:rsidR="0069764C" w:rsidRPr="00C714A2" w:rsidRDefault="0069764C" w:rsidP="0069764C">
      <w:pPr>
        <w:pStyle w:val="NormalWeb"/>
        <w:numPr>
          <w:ilvl w:val="0"/>
          <w:numId w:val="27"/>
        </w:numPr>
        <w:spacing w:before="120" w:beforeAutospacing="0" w:after="0" w:afterAutospacing="0"/>
        <w:textAlignment w:val="baseline"/>
        <w:rPr>
          <w:rFonts w:cs="Arial"/>
          <w:color w:val="000000" w:themeColor="text1"/>
          <w:sz w:val="22"/>
          <w:szCs w:val="22"/>
        </w:rPr>
      </w:pPr>
      <w:r w:rsidRPr="00C714A2">
        <w:rPr>
          <w:rFonts w:cs="Arial"/>
          <w:color w:val="000000" w:themeColor="text1"/>
          <w:sz w:val="22"/>
          <w:szCs w:val="22"/>
        </w:rPr>
        <w:t>APH ensures the public is aware of the availability of accessible formats and communication supports with respect to the feedback process.</w:t>
      </w:r>
    </w:p>
    <w:p w14:paraId="110141E2" w14:textId="77777777" w:rsidR="00D845AC" w:rsidRPr="00D845AC" w:rsidRDefault="00D845AC" w:rsidP="00D845AC">
      <w:pPr>
        <w:pStyle w:val="ListParagraph"/>
        <w:keepNext/>
        <w:keepLines/>
        <w:numPr>
          <w:ilvl w:val="0"/>
          <w:numId w:val="25"/>
        </w:numPr>
        <w:contextualSpacing w:val="0"/>
        <w:outlineLvl w:val="2"/>
        <w:rPr>
          <w:b/>
          <w:bCs/>
          <w:vanish/>
          <w:color w:val="000000" w:themeColor="text1"/>
        </w:rPr>
      </w:pPr>
    </w:p>
    <w:p w14:paraId="735A6037" w14:textId="77777777" w:rsidR="00D845AC" w:rsidRPr="00D845AC" w:rsidRDefault="00D845AC" w:rsidP="00D845AC">
      <w:pPr>
        <w:pStyle w:val="ListParagraph"/>
        <w:keepNext/>
        <w:keepLines/>
        <w:numPr>
          <w:ilvl w:val="1"/>
          <w:numId w:val="25"/>
        </w:numPr>
        <w:ind w:left="810" w:hanging="450"/>
        <w:contextualSpacing w:val="0"/>
        <w:outlineLvl w:val="2"/>
        <w:rPr>
          <w:b/>
          <w:bCs/>
          <w:vanish/>
          <w:color w:val="000000" w:themeColor="text1"/>
        </w:rPr>
      </w:pPr>
    </w:p>
    <w:p w14:paraId="0305CC23" w14:textId="77777777" w:rsidR="00D845AC" w:rsidRPr="00D845AC" w:rsidRDefault="00D845AC" w:rsidP="00D845AC">
      <w:pPr>
        <w:pStyle w:val="ListParagraph"/>
        <w:keepNext/>
        <w:keepLines/>
        <w:numPr>
          <w:ilvl w:val="1"/>
          <w:numId w:val="25"/>
        </w:numPr>
        <w:ind w:left="810" w:hanging="450"/>
        <w:contextualSpacing w:val="0"/>
        <w:outlineLvl w:val="2"/>
        <w:rPr>
          <w:b/>
          <w:bCs/>
          <w:vanish/>
          <w:color w:val="000000" w:themeColor="text1"/>
        </w:rPr>
      </w:pPr>
    </w:p>
    <w:p w14:paraId="65797C87" w14:textId="7AFA4C41" w:rsidR="00F83972" w:rsidRPr="000305C9" w:rsidRDefault="00D845AC" w:rsidP="000308C3">
      <w:pPr>
        <w:pStyle w:val="StyleHeading3LatinArial11ptBoldCustomColorRGB777"/>
      </w:pPr>
      <w:r>
        <w:t>2.2</w:t>
      </w:r>
      <w:r>
        <w:tab/>
      </w:r>
      <w:r w:rsidR="00F83972" w:rsidRPr="000A1010">
        <w:t>Accessible Formats</w:t>
      </w:r>
      <w:r w:rsidR="00F83972" w:rsidRPr="000305C9">
        <w:t xml:space="preserve"> and </w:t>
      </w:r>
      <w:r w:rsidR="00F83972" w:rsidRPr="000A1010">
        <w:t>Communication Supports</w:t>
      </w:r>
    </w:p>
    <w:p w14:paraId="6FDD246A" w14:textId="1DA01C51" w:rsidR="00653D5B" w:rsidRPr="00D845AC" w:rsidRDefault="00653D5B"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D845AC">
        <w:rPr>
          <w:rFonts w:cs="Arial"/>
          <w:color w:val="000000" w:themeColor="text1"/>
          <w:sz w:val="22"/>
          <w:szCs w:val="22"/>
        </w:rPr>
        <w:t>Upon request, APH provides or arranges for the provision of accessible formats and communication supports for persons with disabilities in a timely manner that takes into account the person’s accessibility needs due to disability.</w:t>
      </w:r>
    </w:p>
    <w:p w14:paraId="031628DE" w14:textId="193E4E28" w:rsidR="00C714A2" w:rsidRDefault="00C714A2"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DB5C2E">
        <w:rPr>
          <w:rFonts w:cs="Arial"/>
          <w:color w:val="000000" w:themeColor="text1"/>
          <w:sz w:val="22"/>
          <w:szCs w:val="22"/>
        </w:rPr>
        <w:t>APH consult</w:t>
      </w:r>
      <w:r>
        <w:rPr>
          <w:rFonts w:cs="Arial"/>
          <w:color w:val="000000" w:themeColor="text1"/>
          <w:sz w:val="22"/>
          <w:szCs w:val="22"/>
        </w:rPr>
        <w:t>s</w:t>
      </w:r>
      <w:r w:rsidRPr="00DB5C2E">
        <w:rPr>
          <w:rFonts w:cs="Arial"/>
          <w:color w:val="000000" w:themeColor="text1"/>
          <w:sz w:val="22"/>
          <w:szCs w:val="22"/>
        </w:rPr>
        <w:t xml:space="preserve"> with the requestor to determine the most appropriate </w:t>
      </w:r>
      <w:r w:rsidR="00C54906">
        <w:rPr>
          <w:rFonts w:cs="Arial"/>
          <w:color w:val="000000" w:themeColor="text1"/>
          <w:sz w:val="22"/>
          <w:szCs w:val="22"/>
        </w:rPr>
        <w:t>a</w:t>
      </w:r>
      <w:r w:rsidRPr="00DB5C2E">
        <w:rPr>
          <w:rFonts w:cs="Arial"/>
          <w:color w:val="000000" w:themeColor="text1"/>
          <w:sz w:val="22"/>
          <w:szCs w:val="22"/>
        </w:rPr>
        <w:t xml:space="preserve">ccessible </w:t>
      </w:r>
      <w:r w:rsidR="00C54906">
        <w:rPr>
          <w:rFonts w:cs="Arial"/>
          <w:color w:val="000000" w:themeColor="text1"/>
          <w:sz w:val="22"/>
          <w:szCs w:val="22"/>
        </w:rPr>
        <w:t>f</w:t>
      </w:r>
      <w:r w:rsidRPr="00DB5C2E">
        <w:rPr>
          <w:rFonts w:cs="Arial"/>
          <w:color w:val="000000" w:themeColor="text1"/>
          <w:sz w:val="22"/>
          <w:szCs w:val="22"/>
        </w:rPr>
        <w:t xml:space="preserve">ormat or </w:t>
      </w:r>
      <w:r w:rsidR="00C54906">
        <w:rPr>
          <w:rFonts w:cs="Arial"/>
          <w:color w:val="000000" w:themeColor="text1"/>
          <w:sz w:val="22"/>
          <w:szCs w:val="22"/>
        </w:rPr>
        <w:t>c</w:t>
      </w:r>
      <w:r w:rsidRPr="00DB5C2E">
        <w:rPr>
          <w:rFonts w:cs="Arial"/>
          <w:color w:val="000000" w:themeColor="text1"/>
          <w:sz w:val="22"/>
          <w:szCs w:val="22"/>
        </w:rPr>
        <w:t xml:space="preserve">ommunication </w:t>
      </w:r>
      <w:r w:rsidR="00C54906">
        <w:rPr>
          <w:rFonts w:cs="Arial"/>
          <w:color w:val="000000" w:themeColor="text1"/>
          <w:sz w:val="22"/>
          <w:szCs w:val="22"/>
        </w:rPr>
        <w:t>s</w:t>
      </w:r>
      <w:r w:rsidRPr="00DB5C2E">
        <w:rPr>
          <w:rFonts w:cs="Arial"/>
          <w:color w:val="000000" w:themeColor="text1"/>
          <w:sz w:val="22"/>
          <w:szCs w:val="22"/>
        </w:rPr>
        <w:t>upport. If APH determines that the requested information or communications are</w:t>
      </w:r>
      <w:r w:rsidR="0069764C">
        <w:rPr>
          <w:rFonts w:cs="Arial"/>
          <w:color w:val="000000" w:themeColor="text1"/>
          <w:sz w:val="22"/>
          <w:szCs w:val="22"/>
        </w:rPr>
        <w:t xml:space="preserve"> unconvertible</w:t>
      </w:r>
      <w:r w:rsidRPr="00DB5C2E">
        <w:rPr>
          <w:rFonts w:cs="Arial"/>
          <w:color w:val="000000" w:themeColor="text1"/>
          <w:sz w:val="22"/>
          <w:szCs w:val="22"/>
        </w:rPr>
        <w:t xml:space="preserve">, APH will provide the requester with (a) an explanation as to why the information or communications are </w:t>
      </w:r>
      <w:r w:rsidR="00C54906">
        <w:rPr>
          <w:rFonts w:cs="Arial"/>
          <w:color w:val="000000" w:themeColor="text1"/>
          <w:sz w:val="22"/>
          <w:szCs w:val="22"/>
        </w:rPr>
        <w:t>u</w:t>
      </w:r>
      <w:r w:rsidRPr="00D845AC">
        <w:rPr>
          <w:rFonts w:cs="Arial"/>
          <w:color w:val="000000" w:themeColor="text1"/>
          <w:sz w:val="22"/>
          <w:szCs w:val="22"/>
        </w:rPr>
        <w:t>nconvertible</w:t>
      </w:r>
      <w:r w:rsidRPr="00DB5C2E">
        <w:rPr>
          <w:rFonts w:cs="Arial"/>
          <w:color w:val="000000" w:themeColor="text1"/>
          <w:sz w:val="22"/>
          <w:szCs w:val="22"/>
        </w:rPr>
        <w:t xml:space="preserve">, and (b) a summary of the </w:t>
      </w:r>
      <w:r w:rsidR="00C54906">
        <w:rPr>
          <w:rFonts w:cs="Arial"/>
          <w:color w:val="000000" w:themeColor="text1"/>
          <w:sz w:val="22"/>
          <w:szCs w:val="22"/>
        </w:rPr>
        <w:t>u</w:t>
      </w:r>
      <w:r w:rsidRPr="00D845AC">
        <w:rPr>
          <w:rFonts w:cs="Arial"/>
          <w:color w:val="000000" w:themeColor="text1"/>
          <w:sz w:val="22"/>
          <w:szCs w:val="22"/>
        </w:rPr>
        <w:t>nconvertible</w:t>
      </w:r>
      <w:r w:rsidRPr="00DB5C2E">
        <w:rPr>
          <w:rFonts w:cs="Arial"/>
          <w:color w:val="000000" w:themeColor="text1"/>
          <w:sz w:val="22"/>
          <w:szCs w:val="22"/>
        </w:rPr>
        <w:t xml:space="preserve"> information or communications in a format that is accessible to the requester.</w:t>
      </w:r>
    </w:p>
    <w:p w14:paraId="61271F2C" w14:textId="77777777" w:rsidR="00653D5B" w:rsidRPr="00404E3B" w:rsidRDefault="00653D5B"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404E3B">
        <w:rPr>
          <w:rFonts w:cs="Arial"/>
          <w:color w:val="000000" w:themeColor="text1"/>
          <w:sz w:val="22"/>
          <w:szCs w:val="22"/>
        </w:rPr>
        <w:t>If there is a cost, the cost will be no more than a regular cost charged to other persons.</w:t>
      </w:r>
    </w:p>
    <w:p w14:paraId="4811A6CB" w14:textId="3E5CDD04" w:rsidR="00653D5B" w:rsidRPr="00404E3B" w:rsidRDefault="00653D5B"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404E3B">
        <w:rPr>
          <w:rFonts w:cs="Arial"/>
          <w:color w:val="000000" w:themeColor="text1"/>
          <w:sz w:val="22"/>
          <w:szCs w:val="22"/>
        </w:rPr>
        <w:lastRenderedPageBreak/>
        <w:t xml:space="preserve">The availability of accessible formats and communication supports is posted on its website and through signage in APH </w:t>
      </w:r>
      <w:r w:rsidR="00C54906">
        <w:rPr>
          <w:rFonts w:cs="Arial"/>
          <w:color w:val="000000" w:themeColor="text1"/>
          <w:sz w:val="22"/>
          <w:szCs w:val="22"/>
        </w:rPr>
        <w:t>o</w:t>
      </w:r>
      <w:r w:rsidRPr="00404E3B">
        <w:rPr>
          <w:rFonts w:cs="Arial"/>
          <w:color w:val="000000" w:themeColor="text1"/>
          <w:sz w:val="22"/>
          <w:szCs w:val="22"/>
        </w:rPr>
        <w:t>ffices.</w:t>
      </w:r>
    </w:p>
    <w:p w14:paraId="59278B6C" w14:textId="49B16756" w:rsidR="00653D5B" w:rsidRDefault="00653D5B"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DB5C2E">
        <w:rPr>
          <w:rFonts w:cs="Arial"/>
          <w:color w:val="000000" w:themeColor="text1"/>
          <w:sz w:val="22"/>
          <w:szCs w:val="22"/>
        </w:rPr>
        <w:t xml:space="preserve">Accessible </w:t>
      </w:r>
      <w:r w:rsidR="00C714A2">
        <w:rPr>
          <w:rFonts w:cs="Arial"/>
          <w:color w:val="000000" w:themeColor="text1"/>
          <w:sz w:val="22"/>
          <w:szCs w:val="22"/>
        </w:rPr>
        <w:t>F</w:t>
      </w:r>
      <w:r w:rsidRPr="00DB5C2E">
        <w:rPr>
          <w:rFonts w:cs="Arial"/>
          <w:color w:val="000000" w:themeColor="text1"/>
          <w:sz w:val="22"/>
          <w:szCs w:val="22"/>
        </w:rPr>
        <w:t>ormats and Communication Supports that takes into account the person’s accessibility needs due to a disability, unless such information i</w:t>
      </w:r>
      <w:r w:rsidRPr="00201BAB">
        <w:rPr>
          <w:rFonts w:cs="Arial"/>
          <w:color w:val="000000" w:themeColor="text1"/>
          <w:sz w:val="22"/>
          <w:szCs w:val="22"/>
        </w:rPr>
        <w:t xml:space="preserve">s </w:t>
      </w:r>
      <w:hyperlink w:anchor="Unconvertible" w:history="1">
        <w:r w:rsidR="00D845AC" w:rsidRPr="00201BAB">
          <w:rPr>
            <w:color w:val="000000" w:themeColor="text1"/>
            <w:sz w:val="22"/>
            <w:szCs w:val="22"/>
          </w:rPr>
          <w:t>u</w:t>
        </w:r>
        <w:r w:rsidRPr="00201BAB">
          <w:rPr>
            <w:color w:val="000000" w:themeColor="text1"/>
            <w:sz w:val="22"/>
            <w:szCs w:val="22"/>
          </w:rPr>
          <w:t>nconvertible</w:t>
        </w:r>
      </w:hyperlink>
      <w:r w:rsidRPr="00201BAB">
        <w:rPr>
          <w:rFonts w:cs="Arial"/>
          <w:color w:val="000000" w:themeColor="text1"/>
          <w:sz w:val="22"/>
          <w:szCs w:val="22"/>
        </w:rPr>
        <w:t>.</w:t>
      </w:r>
    </w:p>
    <w:p w14:paraId="702B05E8" w14:textId="7EAD5BB0" w:rsidR="0069764C" w:rsidRPr="00CB2C29" w:rsidRDefault="0069764C" w:rsidP="000308C3">
      <w:pPr>
        <w:pStyle w:val="StyleHeading3LatinArial11ptBoldCustomColorRGB777"/>
      </w:pPr>
      <w:r w:rsidRPr="00CB2C29">
        <w:t>2.</w:t>
      </w:r>
      <w:r w:rsidR="00C125D0">
        <w:t>3</w:t>
      </w:r>
      <w:r w:rsidRPr="00CB2C29">
        <w:t xml:space="preserve"> Emergency </w:t>
      </w:r>
      <w:r>
        <w:t>Procedure, Plans or Public Safety Information</w:t>
      </w:r>
    </w:p>
    <w:p w14:paraId="3D8E7677" w14:textId="77777777" w:rsidR="0069764C" w:rsidRPr="00C714A2" w:rsidRDefault="0069764C"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C714A2">
        <w:rPr>
          <w:rFonts w:cs="Arial"/>
          <w:color w:val="000000" w:themeColor="text1"/>
          <w:sz w:val="22"/>
          <w:szCs w:val="22"/>
        </w:rPr>
        <w:t>APH provides information in an accessible format or with appropriate communication supports, as soon as practical upon request.</w:t>
      </w:r>
    </w:p>
    <w:p w14:paraId="010868C3" w14:textId="28D45F47" w:rsidR="00F83972" w:rsidRPr="00B55999" w:rsidRDefault="00163F26" w:rsidP="000308C3">
      <w:pPr>
        <w:pStyle w:val="StyleHeading3LatinArial11ptBoldCustomColorRGB777"/>
      </w:pPr>
      <w:r w:rsidRPr="00B55999">
        <w:t>2</w:t>
      </w:r>
      <w:r w:rsidR="00F83972" w:rsidRPr="00B55999">
        <w:t>.</w:t>
      </w:r>
      <w:r w:rsidR="00C125D0">
        <w:t>4</w:t>
      </w:r>
      <w:r w:rsidR="00F83972" w:rsidRPr="00B55999">
        <w:t xml:space="preserve"> Website</w:t>
      </w:r>
    </w:p>
    <w:p w14:paraId="61AEA96B" w14:textId="2C108C76" w:rsidR="00B33916" w:rsidRPr="00C125D0" w:rsidRDefault="00B33916"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C125D0">
        <w:rPr>
          <w:rFonts w:cs="Arial"/>
          <w:color w:val="000000" w:themeColor="text1"/>
          <w:sz w:val="22"/>
          <w:szCs w:val="22"/>
        </w:rPr>
        <w:t>APH’s public website including web content, conforms to World Wide Web Consortium Web Content Accessibility Guidelines (WCAG) 2.0 at Level AA.</w:t>
      </w:r>
    </w:p>
    <w:p w14:paraId="0526B826" w14:textId="7EC1D030" w:rsidR="00985981" w:rsidRPr="009B569A" w:rsidRDefault="00A71D64" w:rsidP="00576C44">
      <w:pPr>
        <w:pStyle w:val="ListParagraph"/>
        <w:numPr>
          <w:ilvl w:val="0"/>
          <w:numId w:val="20"/>
        </w:numPr>
        <w:tabs>
          <w:tab w:val="left" w:pos="360"/>
          <w:tab w:val="left" w:pos="720"/>
        </w:tabs>
        <w:spacing w:before="240"/>
        <w:rPr>
          <w:b/>
        </w:rPr>
      </w:pPr>
      <w:r w:rsidRPr="00576C44">
        <w:rPr>
          <w:b/>
          <w:u w:val="single"/>
        </w:rPr>
        <w:t>EMPLOYMENT STANDARDS</w:t>
      </w:r>
      <w:r w:rsidRPr="009B569A">
        <w:rPr>
          <w:b/>
        </w:rPr>
        <w:t>:</w:t>
      </w:r>
    </w:p>
    <w:p w14:paraId="25FDAFB8" w14:textId="2F7228D0" w:rsidR="00F83972" w:rsidRPr="00303368" w:rsidRDefault="00163F26" w:rsidP="000308C3">
      <w:pPr>
        <w:pStyle w:val="StyleHeading3LatinArial11ptBoldCustomColorRGB777"/>
      </w:pPr>
      <w:r w:rsidRPr="00303368">
        <w:t>3</w:t>
      </w:r>
      <w:r w:rsidR="00F83972" w:rsidRPr="00303368">
        <w:t>.1 Recruitment</w:t>
      </w:r>
    </w:p>
    <w:p w14:paraId="104AF0DA" w14:textId="40AA3338" w:rsidR="00F83972" w:rsidRDefault="00DE3613"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67295B">
        <w:rPr>
          <w:rFonts w:cs="Arial"/>
          <w:color w:val="000000" w:themeColor="text1"/>
          <w:sz w:val="22"/>
          <w:szCs w:val="22"/>
        </w:rPr>
        <w:t>APH</w:t>
      </w:r>
      <w:r w:rsidR="00F83972" w:rsidRPr="0067295B">
        <w:rPr>
          <w:rFonts w:cs="Arial"/>
          <w:color w:val="000000" w:themeColor="text1"/>
          <w:sz w:val="22"/>
          <w:szCs w:val="22"/>
        </w:rPr>
        <w:t xml:space="preserve"> notif</w:t>
      </w:r>
      <w:r w:rsidR="0067295B">
        <w:rPr>
          <w:rFonts w:cs="Arial"/>
          <w:color w:val="000000" w:themeColor="text1"/>
          <w:sz w:val="22"/>
          <w:szCs w:val="22"/>
        </w:rPr>
        <w:t>ies</w:t>
      </w:r>
      <w:r w:rsidR="00F83972" w:rsidRPr="0067295B">
        <w:rPr>
          <w:rFonts w:cs="Arial"/>
          <w:color w:val="000000" w:themeColor="text1"/>
          <w:sz w:val="22"/>
          <w:szCs w:val="22"/>
        </w:rPr>
        <w:t xml:space="preserve"> </w:t>
      </w:r>
      <w:r w:rsidR="00335FCD">
        <w:rPr>
          <w:rFonts w:cs="Arial"/>
          <w:color w:val="000000" w:themeColor="text1"/>
          <w:sz w:val="22"/>
          <w:szCs w:val="22"/>
        </w:rPr>
        <w:t xml:space="preserve">its employees and </w:t>
      </w:r>
      <w:r w:rsidR="00F83972" w:rsidRPr="0067295B">
        <w:rPr>
          <w:rFonts w:cs="Arial"/>
          <w:color w:val="000000" w:themeColor="text1"/>
          <w:sz w:val="22"/>
          <w:szCs w:val="22"/>
        </w:rPr>
        <w:t xml:space="preserve">the public about the availability of accommodations for applicants with disabilities in the </w:t>
      </w:r>
      <w:r w:rsidRPr="0067295B">
        <w:rPr>
          <w:rFonts w:cs="Arial"/>
          <w:color w:val="000000" w:themeColor="text1"/>
          <w:sz w:val="22"/>
          <w:szCs w:val="22"/>
        </w:rPr>
        <w:t>APH</w:t>
      </w:r>
      <w:r w:rsidR="00F83972" w:rsidRPr="0067295B">
        <w:rPr>
          <w:rFonts w:cs="Arial"/>
          <w:color w:val="000000" w:themeColor="text1"/>
          <w:sz w:val="22"/>
          <w:szCs w:val="22"/>
        </w:rPr>
        <w:t xml:space="preserve"> recruitment process.</w:t>
      </w:r>
    </w:p>
    <w:p w14:paraId="5C7BBBF7" w14:textId="01DD371F" w:rsidR="00335FCD" w:rsidRPr="00335FCD" w:rsidRDefault="00335FCD"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35FCD">
        <w:rPr>
          <w:rFonts w:cs="Arial"/>
          <w:color w:val="000000" w:themeColor="text1"/>
          <w:sz w:val="22"/>
          <w:szCs w:val="22"/>
        </w:rPr>
        <w:t>The availability of accommodations for applicants is stated on all job postings.</w:t>
      </w:r>
    </w:p>
    <w:p w14:paraId="1E98473A" w14:textId="41675D1C" w:rsidR="00335FCD" w:rsidRPr="00335FCD" w:rsidRDefault="00335FCD" w:rsidP="00D845AC">
      <w:pPr>
        <w:pStyle w:val="NormalWeb"/>
        <w:numPr>
          <w:ilvl w:val="0"/>
          <w:numId w:val="27"/>
        </w:numPr>
        <w:spacing w:before="120" w:beforeAutospacing="0" w:after="0" w:afterAutospacing="0"/>
        <w:textAlignment w:val="baseline"/>
        <w:rPr>
          <w:rFonts w:cs="Arial"/>
          <w:color w:val="000000" w:themeColor="text1"/>
          <w:sz w:val="22"/>
          <w:szCs w:val="22"/>
        </w:rPr>
      </w:pPr>
      <w:r>
        <w:rPr>
          <w:rFonts w:cs="Arial"/>
          <w:color w:val="000000" w:themeColor="text1"/>
          <w:sz w:val="22"/>
          <w:szCs w:val="22"/>
        </w:rPr>
        <w:t>APH</w:t>
      </w:r>
      <w:r w:rsidRPr="00335FCD">
        <w:rPr>
          <w:rFonts w:cs="Arial"/>
          <w:color w:val="000000" w:themeColor="text1"/>
          <w:sz w:val="22"/>
          <w:szCs w:val="22"/>
        </w:rPr>
        <w:t xml:space="preserve"> notifies job applicants (when they are individually selected to participate further in an assessment or selection process), that accommodations are available upon request in relation to the materials or processes to be used.</w:t>
      </w:r>
    </w:p>
    <w:p w14:paraId="31E3D67A" w14:textId="6B9B30E4" w:rsidR="00335FCD" w:rsidRPr="00335FCD" w:rsidRDefault="00335FCD"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35FCD">
        <w:rPr>
          <w:rFonts w:cs="Arial"/>
          <w:color w:val="000000" w:themeColor="text1"/>
          <w:sz w:val="22"/>
          <w:szCs w:val="22"/>
        </w:rPr>
        <w:t xml:space="preserve">If a selected applicant requests an accommodation, </w:t>
      </w:r>
      <w:r>
        <w:rPr>
          <w:rFonts w:cs="Arial"/>
          <w:color w:val="000000" w:themeColor="text1"/>
          <w:sz w:val="22"/>
          <w:szCs w:val="22"/>
        </w:rPr>
        <w:t>APH</w:t>
      </w:r>
      <w:r w:rsidRPr="00335FCD">
        <w:rPr>
          <w:rFonts w:cs="Arial"/>
          <w:color w:val="000000" w:themeColor="text1"/>
          <w:sz w:val="22"/>
          <w:szCs w:val="22"/>
        </w:rPr>
        <w:t xml:space="preserve"> consults with the applicant and provides, or arranges for the provision of, suitable accommodation in a manner that takes into account the applicants accessibility needs due to disability.</w:t>
      </w:r>
    </w:p>
    <w:p w14:paraId="117A8006" w14:textId="28C9C7DE" w:rsidR="00335FCD" w:rsidRPr="0067295B" w:rsidRDefault="00335FCD"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35FCD">
        <w:rPr>
          <w:rFonts w:cs="Arial"/>
          <w:color w:val="000000" w:themeColor="text1"/>
          <w:sz w:val="22"/>
          <w:szCs w:val="22"/>
        </w:rPr>
        <w:t xml:space="preserve">When making offers of employment, </w:t>
      </w:r>
      <w:r>
        <w:rPr>
          <w:rFonts w:cs="Arial"/>
          <w:color w:val="000000" w:themeColor="text1"/>
          <w:sz w:val="22"/>
          <w:szCs w:val="22"/>
        </w:rPr>
        <w:t>APH</w:t>
      </w:r>
      <w:r w:rsidRPr="00335FCD">
        <w:rPr>
          <w:rFonts w:cs="Arial"/>
          <w:color w:val="000000" w:themeColor="text1"/>
          <w:sz w:val="22"/>
          <w:szCs w:val="22"/>
        </w:rPr>
        <w:t xml:space="preserve"> notifies the successful applicant of policies for accommodating employees with disabilities.</w:t>
      </w:r>
    </w:p>
    <w:p w14:paraId="3F696E8B" w14:textId="393544EF" w:rsidR="00F83972" w:rsidRPr="00303368" w:rsidRDefault="00163F26" w:rsidP="000308C3">
      <w:pPr>
        <w:pStyle w:val="StyleHeading3LatinArial11ptBoldCustomColorRGB777"/>
      </w:pPr>
      <w:r w:rsidRPr="0067295B">
        <w:t>3</w:t>
      </w:r>
      <w:r w:rsidR="00F83972" w:rsidRPr="0067295B">
        <w:t>.</w:t>
      </w:r>
      <w:r w:rsidR="00335FCD">
        <w:t xml:space="preserve">2 </w:t>
      </w:r>
      <w:r w:rsidR="00F83972" w:rsidRPr="00303368">
        <w:t>Informing Employees of Supports</w:t>
      </w:r>
    </w:p>
    <w:p w14:paraId="73D474E7" w14:textId="62B4615C" w:rsidR="00335FCD" w:rsidRPr="00335FCD" w:rsidRDefault="00335FCD"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35FCD">
        <w:rPr>
          <w:rFonts w:cs="Arial"/>
          <w:color w:val="000000" w:themeColor="text1"/>
          <w:sz w:val="22"/>
          <w:szCs w:val="22"/>
        </w:rPr>
        <w:t>APH informs its employees of its policies (and any updates to those policies) used to support employees with disabilities, including policies on the provision of job accommodations that take into account an employee’s accessibility needs due to disability. This information is provided to new employees as soon as practical after commencing employment</w:t>
      </w:r>
      <w:r>
        <w:rPr>
          <w:rFonts w:cs="Arial"/>
          <w:color w:val="000000" w:themeColor="text1"/>
          <w:sz w:val="22"/>
          <w:szCs w:val="22"/>
        </w:rPr>
        <w:t>.</w:t>
      </w:r>
    </w:p>
    <w:p w14:paraId="255E68FD" w14:textId="08329750" w:rsidR="00F83972" w:rsidRPr="00303368" w:rsidRDefault="00163F26" w:rsidP="000308C3">
      <w:pPr>
        <w:pStyle w:val="StyleHeading3LatinArial11ptBoldCustomColorRGB777"/>
      </w:pPr>
      <w:r w:rsidRPr="00303368">
        <w:t>3</w:t>
      </w:r>
      <w:r w:rsidR="00F83972" w:rsidRPr="00303368">
        <w:t>.3 Accessible Formats and Communication Supports</w:t>
      </w:r>
    </w:p>
    <w:p w14:paraId="1C820B49" w14:textId="573DD778" w:rsidR="00335FCD" w:rsidRDefault="00F83972"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35FCD">
        <w:rPr>
          <w:rFonts w:cs="Arial"/>
          <w:color w:val="000000" w:themeColor="text1"/>
          <w:sz w:val="22"/>
          <w:szCs w:val="22"/>
        </w:rPr>
        <w:t xml:space="preserve">Upon the request of an employee with a disability, </w:t>
      </w:r>
      <w:r w:rsidR="00DE3613" w:rsidRPr="00335FCD">
        <w:rPr>
          <w:rFonts w:cs="Arial"/>
          <w:color w:val="000000" w:themeColor="text1"/>
          <w:sz w:val="22"/>
          <w:szCs w:val="22"/>
        </w:rPr>
        <w:t>APH</w:t>
      </w:r>
      <w:r w:rsidRPr="00335FCD">
        <w:rPr>
          <w:rFonts w:cs="Arial"/>
          <w:color w:val="000000" w:themeColor="text1"/>
          <w:sz w:val="22"/>
          <w:szCs w:val="22"/>
        </w:rPr>
        <w:t xml:space="preserve"> consult</w:t>
      </w:r>
      <w:r w:rsidR="00335FCD">
        <w:rPr>
          <w:rFonts w:cs="Arial"/>
          <w:color w:val="000000" w:themeColor="text1"/>
          <w:sz w:val="22"/>
          <w:szCs w:val="22"/>
        </w:rPr>
        <w:t>s</w:t>
      </w:r>
      <w:r w:rsidRPr="00335FCD">
        <w:rPr>
          <w:rFonts w:cs="Arial"/>
          <w:color w:val="000000" w:themeColor="text1"/>
          <w:sz w:val="22"/>
          <w:szCs w:val="22"/>
        </w:rPr>
        <w:t xml:space="preserve"> with the employee to provide, or arrange for the provision of, </w:t>
      </w:r>
      <w:r w:rsidR="00AE1003">
        <w:rPr>
          <w:rFonts w:cs="Arial"/>
          <w:color w:val="000000" w:themeColor="text1"/>
          <w:sz w:val="22"/>
          <w:szCs w:val="22"/>
        </w:rPr>
        <w:t>a</w:t>
      </w:r>
      <w:r w:rsidRPr="00335FCD">
        <w:rPr>
          <w:rFonts w:cs="Arial"/>
          <w:color w:val="000000" w:themeColor="text1"/>
          <w:sz w:val="22"/>
          <w:szCs w:val="22"/>
        </w:rPr>
        <w:t xml:space="preserve">ccessible </w:t>
      </w:r>
      <w:r w:rsidR="00AE1003">
        <w:rPr>
          <w:rFonts w:cs="Arial"/>
          <w:color w:val="000000" w:themeColor="text1"/>
          <w:sz w:val="22"/>
          <w:szCs w:val="22"/>
        </w:rPr>
        <w:t>f</w:t>
      </w:r>
      <w:r w:rsidRPr="00335FCD">
        <w:rPr>
          <w:rFonts w:cs="Arial"/>
          <w:color w:val="000000" w:themeColor="text1"/>
          <w:sz w:val="22"/>
          <w:szCs w:val="22"/>
        </w:rPr>
        <w:t xml:space="preserve">ormats and </w:t>
      </w:r>
      <w:r w:rsidR="00AE1003">
        <w:rPr>
          <w:rFonts w:cs="Arial"/>
          <w:color w:val="000000" w:themeColor="text1"/>
          <w:sz w:val="22"/>
          <w:szCs w:val="22"/>
        </w:rPr>
        <w:t>c</w:t>
      </w:r>
      <w:r w:rsidRPr="00335FCD">
        <w:rPr>
          <w:rFonts w:cs="Arial"/>
          <w:color w:val="000000" w:themeColor="text1"/>
          <w:sz w:val="22"/>
          <w:szCs w:val="22"/>
        </w:rPr>
        <w:t xml:space="preserve">ommunication </w:t>
      </w:r>
      <w:r w:rsidR="00AE1003">
        <w:rPr>
          <w:rFonts w:cs="Arial"/>
          <w:color w:val="000000" w:themeColor="text1"/>
          <w:sz w:val="22"/>
          <w:szCs w:val="22"/>
        </w:rPr>
        <w:t>s</w:t>
      </w:r>
      <w:r w:rsidRPr="00335FCD">
        <w:rPr>
          <w:rFonts w:cs="Arial"/>
          <w:color w:val="000000" w:themeColor="text1"/>
          <w:sz w:val="22"/>
          <w:szCs w:val="22"/>
        </w:rPr>
        <w:t>upports for information that is needed to perform the employee’s job, and information that is generally available to other employees.</w:t>
      </w:r>
    </w:p>
    <w:p w14:paraId="31EE7D84" w14:textId="598AAC63" w:rsidR="00F83972" w:rsidRPr="00335FCD" w:rsidRDefault="00F83972"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35FCD">
        <w:rPr>
          <w:rFonts w:cs="Arial"/>
          <w:color w:val="000000" w:themeColor="text1"/>
          <w:sz w:val="22"/>
          <w:szCs w:val="22"/>
        </w:rPr>
        <w:t xml:space="preserve">In determining the suitability of an </w:t>
      </w:r>
      <w:r w:rsidR="00AE1003">
        <w:rPr>
          <w:rFonts w:cs="Arial"/>
          <w:color w:val="000000" w:themeColor="text1"/>
          <w:sz w:val="22"/>
          <w:szCs w:val="22"/>
        </w:rPr>
        <w:t>a</w:t>
      </w:r>
      <w:r w:rsidRPr="00335FCD">
        <w:rPr>
          <w:rFonts w:cs="Arial"/>
          <w:color w:val="000000" w:themeColor="text1"/>
          <w:sz w:val="22"/>
          <w:szCs w:val="22"/>
        </w:rPr>
        <w:t xml:space="preserve">ccessible </w:t>
      </w:r>
      <w:r w:rsidR="00AE1003">
        <w:rPr>
          <w:rFonts w:cs="Arial"/>
          <w:color w:val="000000" w:themeColor="text1"/>
          <w:sz w:val="22"/>
          <w:szCs w:val="22"/>
        </w:rPr>
        <w:t>f</w:t>
      </w:r>
      <w:r w:rsidRPr="00335FCD">
        <w:rPr>
          <w:rFonts w:cs="Arial"/>
          <w:color w:val="000000" w:themeColor="text1"/>
          <w:sz w:val="22"/>
          <w:szCs w:val="22"/>
        </w:rPr>
        <w:t xml:space="preserve">ormat or </w:t>
      </w:r>
      <w:r w:rsidR="00AE1003">
        <w:rPr>
          <w:rFonts w:cs="Arial"/>
          <w:color w:val="000000" w:themeColor="text1"/>
          <w:sz w:val="22"/>
          <w:szCs w:val="22"/>
        </w:rPr>
        <w:t>c</w:t>
      </w:r>
      <w:r w:rsidRPr="00335FCD">
        <w:rPr>
          <w:rFonts w:cs="Arial"/>
          <w:color w:val="000000" w:themeColor="text1"/>
          <w:sz w:val="22"/>
          <w:szCs w:val="22"/>
        </w:rPr>
        <w:t xml:space="preserve">ommunication </w:t>
      </w:r>
      <w:r w:rsidR="00AE1003">
        <w:rPr>
          <w:rFonts w:cs="Arial"/>
          <w:color w:val="000000" w:themeColor="text1"/>
          <w:sz w:val="22"/>
          <w:szCs w:val="22"/>
        </w:rPr>
        <w:t>s</w:t>
      </w:r>
      <w:r w:rsidRPr="00335FCD">
        <w:rPr>
          <w:rFonts w:cs="Arial"/>
          <w:color w:val="000000" w:themeColor="text1"/>
          <w:sz w:val="22"/>
          <w:szCs w:val="22"/>
        </w:rPr>
        <w:t xml:space="preserve">upport, </w:t>
      </w:r>
      <w:r w:rsidR="00DE3613" w:rsidRPr="00335FCD">
        <w:rPr>
          <w:rFonts w:cs="Arial"/>
          <w:color w:val="000000" w:themeColor="text1"/>
          <w:sz w:val="22"/>
          <w:szCs w:val="22"/>
        </w:rPr>
        <w:t>APH</w:t>
      </w:r>
      <w:r w:rsidRPr="00335FCD">
        <w:rPr>
          <w:rFonts w:cs="Arial"/>
          <w:color w:val="000000" w:themeColor="text1"/>
          <w:sz w:val="22"/>
          <w:szCs w:val="22"/>
        </w:rPr>
        <w:t xml:space="preserve"> will consult with the employee making the request.</w:t>
      </w:r>
    </w:p>
    <w:p w14:paraId="2551EEFF" w14:textId="12809B5F" w:rsidR="00F83972" w:rsidRPr="00303368" w:rsidRDefault="00163F26" w:rsidP="000308C3">
      <w:pPr>
        <w:pStyle w:val="StyleHeading3LatinArial11ptBoldCustomColorRGB777"/>
      </w:pPr>
      <w:r w:rsidRPr="00303368">
        <w:t>3</w:t>
      </w:r>
      <w:r w:rsidR="00F83972" w:rsidRPr="00303368">
        <w:t>.4 Workplace Emergency Response Information</w:t>
      </w:r>
    </w:p>
    <w:p w14:paraId="69A06FD3" w14:textId="1C587FE9" w:rsidR="00F83972" w:rsidRPr="0018414C" w:rsidRDefault="00DE3613"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18414C">
        <w:rPr>
          <w:rFonts w:cs="Arial"/>
          <w:color w:val="000000" w:themeColor="text1"/>
          <w:sz w:val="22"/>
          <w:szCs w:val="22"/>
        </w:rPr>
        <w:t>APH</w:t>
      </w:r>
      <w:r w:rsidR="00F83972" w:rsidRPr="0018414C">
        <w:rPr>
          <w:rFonts w:cs="Arial"/>
          <w:color w:val="000000" w:themeColor="text1"/>
          <w:sz w:val="22"/>
          <w:szCs w:val="22"/>
        </w:rPr>
        <w:t xml:space="preserve"> provide</w:t>
      </w:r>
      <w:r w:rsidR="0018414C" w:rsidRPr="0018414C">
        <w:rPr>
          <w:rFonts w:cs="Arial"/>
          <w:color w:val="000000" w:themeColor="text1"/>
          <w:sz w:val="22"/>
          <w:szCs w:val="22"/>
        </w:rPr>
        <w:t>s</w:t>
      </w:r>
      <w:r w:rsidR="00F83972" w:rsidRPr="0018414C">
        <w:rPr>
          <w:rFonts w:cs="Arial"/>
          <w:color w:val="000000" w:themeColor="text1"/>
          <w:sz w:val="22"/>
          <w:szCs w:val="22"/>
        </w:rPr>
        <w:t xml:space="preserve"> individualized workplace emergency response information to </w:t>
      </w:r>
      <w:r w:rsidRPr="0018414C">
        <w:rPr>
          <w:rFonts w:cs="Arial"/>
          <w:color w:val="000000" w:themeColor="text1"/>
          <w:sz w:val="22"/>
          <w:szCs w:val="22"/>
        </w:rPr>
        <w:t>APH</w:t>
      </w:r>
      <w:r w:rsidR="00F83972" w:rsidRPr="0018414C">
        <w:rPr>
          <w:rFonts w:cs="Arial"/>
          <w:color w:val="000000" w:themeColor="text1"/>
          <w:sz w:val="22"/>
          <w:szCs w:val="22"/>
        </w:rPr>
        <w:t xml:space="preserve"> employees if </w:t>
      </w:r>
      <w:r w:rsidRPr="0018414C">
        <w:rPr>
          <w:rFonts w:cs="Arial"/>
          <w:color w:val="000000" w:themeColor="text1"/>
          <w:sz w:val="22"/>
          <w:szCs w:val="22"/>
        </w:rPr>
        <w:t>APH</w:t>
      </w:r>
      <w:r w:rsidR="00F83972" w:rsidRPr="0018414C">
        <w:rPr>
          <w:rFonts w:cs="Arial"/>
          <w:color w:val="000000" w:themeColor="text1"/>
          <w:sz w:val="22"/>
          <w:szCs w:val="22"/>
        </w:rPr>
        <w:t xml:space="preserve"> is aware of the need for accommodation due to an employee’s disability. </w:t>
      </w:r>
      <w:r w:rsidRPr="0018414C">
        <w:rPr>
          <w:rFonts w:cs="Arial"/>
          <w:color w:val="000000" w:themeColor="text1"/>
          <w:sz w:val="22"/>
          <w:szCs w:val="22"/>
        </w:rPr>
        <w:t>APH</w:t>
      </w:r>
      <w:r w:rsidR="00F83972" w:rsidRPr="0018414C">
        <w:rPr>
          <w:rFonts w:cs="Arial"/>
          <w:color w:val="000000" w:themeColor="text1"/>
          <w:sz w:val="22"/>
          <w:szCs w:val="22"/>
        </w:rPr>
        <w:t xml:space="preserve"> provide</w:t>
      </w:r>
      <w:r w:rsidR="0018414C" w:rsidRPr="0018414C">
        <w:rPr>
          <w:rFonts w:cs="Arial"/>
          <w:color w:val="000000" w:themeColor="text1"/>
          <w:sz w:val="22"/>
          <w:szCs w:val="22"/>
        </w:rPr>
        <w:t>s</w:t>
      </w:r>
      <w:r w:rsidR="00F83972" w:rsidRPr="0018414C">
        <w:rPr>
          <w:rFonts w:cs="Arial"/>
          <w:color w:val="000000" w:themeColor="text1"/>
          <w:sz w:val="22"/>
          <w:szCs w:val="22"/>
        </w:rPr>
        <w:t xml:space="preserve"> this information as soon as practicable after becoming aware of the need for accommodation.</w:t>
      </w:r>
    </w:p>
    <w:p w14:paraId="466EAD88" w14:textId="2E149518" w:rsidR="00F83972" w:rsidRDefault="0018414C"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18414C">
        <w:rPr>
          <w:rFonts w:cs="Arial"/>
          <w:color w:val="000000" w:themeColor="text1"/>
          <w:sz w:val="22"/>
          <w:szCs w:val="22"/>
        </w:rPr>
        <w:t xml:space="preserve">APH </w:t>
      </w:r>
      <w:r w:rsidR="00F83972" w:rsidRPr="0018414C">
        <w:rPr>
          <w:rFonts w:cs="Arial"/>
          <w:color w:val="000000" w:themeColor="text1"/>
          <w:sz w:val="22"/>
          <w:szCs w:val="22"/>
        </w:rPr>
        <w:t>with the consent of the employee, provide</w:t>
      </w:r>
      <w:r w:rsidRPr="0018414C">
        <w:rPr>
          <w:rFonts w:cs="Arial"/>
          <w:color w:val="000000" w:themeColor="text1"/>
          <w:sz w:val="22"/>
          <w:szCs w:val="22"/>
        </w:rPr>
        <w:t>s</w:t>
      </w:r>
      <w:r w:rsidR="00F83972" w:rsidRPr="0018414C">
        <w:rPr>
          <w:rFonts w:cs="Arial"/>
          <w:color w:val="000000" w:themeColor="text1"/>
          <w:sz w:val="22"/>
          <w:szCs w:val="22"/>
        </w:rPr>
        <w:t xml:space="preserve"> the workplace emergency response information to the person designated by </w:t>
      </w:r>
      <w:r w:rsidR="00DE3613" w:rsidRPr="0018414C">
        <w:rPr>
          <w:rFonts w:cs="Arial"/>
          <w:color w:val="000000" w:themeColor="text1"/>
          <w:sz w:val="22"/>
          <w:szCs w:val="22"/>
        </w:rPr>
        <w:t>APH</w:t>
      </w:r>
      <w:r w:rsidR="00F83972" w:rsidRPr="0018414C">
        <w:rPr>
          <w:rFonts w:cs="Arial"/>
          <w:color w:val="000000" w:themeColor="text1"/>
          <w:sz w:val="22"/>
          <w:szCs w:val="22"/>
        </w:rPr>
        <w:t xml:space="preserve"> to provide assistance to the employee.</w:t>
      </w:r>
    </w:p>
    <w:p w14:paraId="059FF91B" w14:textId="37477997" w:rsidR="00E2145D" w:rsidRDefault="0018414C"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18414C">
        <w:rPr>
          <w:rFonts w:cs="Arial"/>
          <w:color w:val="000000" w:themeColor="text1"/>
          <w:sz w:val="22"/>
          <w:szCs w:val="22"/>
        </w:rPr>
        <w:t xml:space="preserve">The workplace emergency response information is reviewed by </w:t>
      </w:r>
      <w:r w:rsidR="00DF1D31">
        <w:rPr>
          <w:rFonts w:cs="Arial"/>
          <w:color w:val="000000" w:themeColor="text1"/>
          <w:sz w:val="22"/>
          <w:szCs w:val="22"/>
        </w:rPr>
        <w:t>APH</w:t>
      </w:r>
      <w:r w:rsidRPr="0018414C">
        <w:rPr>
          <w:rFonts w:cs="Arial"/>
          <w:color w:val="000000" w:themeColor="text1"/>
          <w:sz w:val="22"/>
          <w:szCs w:val="22"/>
        </w:rPr>
        <w:t xml:space="preserve"> when</w:t>
      </w:r>
      <w:r w:rsidR="00E2145D">
        <w:rPr>
          <w:rFonts w:cs="Arial"/>
          <w:color w:val="000000" w:themeColor="text1"/>
          <w:sz w:val="22"/>
          <w:szCs w:val="22"/>
        </w:rPr>
        <w:t>:</w:t>
      </w:r>
    </w:p>
    <w:p w14:paraId="01F0D9F7" w14:textId="77777777" w:rsidR="00E2145D" w:rsidRDefault="0018414C">
      <w:pPr>
        <w:pStyle w:val="ListParagraph"/>
        <w:numPr>
          <w:ilvl w:val="0"/>
          <w:numId w:val="8"/>
        </w:numPr>
        <w:shd w:val="clear" w:color="auto" w:fill="FFFFFF"/>
        <w:tabs>
          <w:tab w:val="clear" w:pos="1080"/>
        </w:tabs>
        <w:ind w:hanging="360"/>
        <w:rPr>
          <w:rFonts w:cs="Arial"/>
          <w:color w:val="000000"/>
          <w:szCs w:val="22"/>
          <w:lang w:eastAsia="en-CA"/>
        </w:rPr>
      </w:pPr>
      <w:r w:rsidRPr="00E2145D">
        <w:rPr>
          <w:rFonts w:cs="Arial"/>
          <w:color w:val="000000"/>
          <w:szCs w:val="22"/>
          <w:lang w:eastAsia="en-CA"/>
        </w:rPr>
        <w:t xml:space="preserve">the employee moves to a different location in the </w:t>
      </w:r>
      <w:proofErr w:type="gramStart"/>
      <w:r w:rsidRPr="00E2145D">
        <w:rPr>
          <w:rFonts w:cs="Arial"/>
          <w:color w:val="000000"/>
          <w:szCs w:val="22"/>
          <w:lang w:eastAsia="en-CA"/>
        </w:rPr>
        <w:t>organization</w:t>
      </w:r>
      <w:r w:rsidR="00E2145D">
        <w:rPr>
          <w:rFonts w:cs="Arial"/>
          <w:color w:val="000000"/>
          <w:szCs w:val="22"/>
          <w:lang w:eastAsia="en-CA"/>
        </w:rPr>
        <w:t>;</w:t>
      </w:r>
      <w:proofErr w:type="gramEnd"/>
    </w:p>
    <w:p w14:paraId="32371838" w14:textId="77777777" w:rsidR="00E2145D" w:rsidRDefault="0018414C">
      <w:pPr>
        <w:pStyle w:val="ListParagraph"/>
        <w:numPr>
          <w:ilvl w:val="0"/>
          <w:numId w:val="8"/>
        </w:numPr>
        <w:shd w:val="clear" w:color="auto" w:fill="FFFFFF"/>
        <w:tabs>
          <w:tab w:val="clear" w:pos="1080"/>
        </w:tabs>
        <w:ind w:hanging="360"/>
        <w:rPr>
          <w:rFonts w:cs="Arial"/>
          <w:color w:val="000000"/>
          <w:szCs w:val="22"/>
          <w:lang w:eastAsia="en-CA"/>
        </w:rPr>
      </w:pPr>
      <w:r w:rsidRPr="00E2145D">
        <w:rPr>
          <w:rFonts w:cs="Arial"/>
          <w:color w:val="000000"/>
          <w:szCs w:val="22"/>
          <w:lang w:eastAsia="en-CA"/>
        </w:rPr>
        <w:t xml:space="preserve">when the employee’s overall accommodations needs or plans are reviewed, and </w:t>
      </w:r>
    </w:p>
    <w:p w14:paraId="66A88312" w14:textId="5E94E7ED" w:rsidR="0018414C" w:rsidRPr="00E2145D" w:rsidRDefault="0018414C">
      <w:pPr>
        <w:pStyle w:val="ListParagraph"/>
        <w:numPr>
          <w:ilvl w:val="0"/>
          <w:numId w:val="8"/>
        </w:numPr>
        <w:shd w:val="clear" w:color="auto" w:fill="FFFFFF"/>
        <w:tabs>
          <w:tab w:val="clear" w:pos="1080"/>
        </w:tabs>
        <w:ind w:hanging="360"/>
        <w:rPr>
          <w:rFonts w:cs="Arial"/>
          <w:color w:val="000000"/>
          <w:szCs w:val="22"/>
          <w:lang w:eastAsia="en-CA"/>
        </w:rPr>
      </w:pPr>
      <w:r w:rsidRPr="00E2145D">
        <w:rPr>
          <w:rFonts w:cs="Arial"/>
          <w:color w:val="000000"/>
          <w:szCs w:val="22"/>
          <w:lang w:eastAsia="en-CA"/>
        </w:rPr>
        <w:lastRenderedPageBreak/>
        <w:t xml:space="preserve">when </w:t>
      </w:r>
      <w:r w:rsidR="00E2145D">
        <w:rPr>
          <w:rFonts w:cs="Arial"/>
          <w:color w:val="000000"/>
          <w:szCs w:val="22"/>
          <w:lang w:eastAsia="en-CA"/>
        </w:rPr>
        <w:t>APH</w:t>
      </w:r>
      <w:r w:rsidRPr="00E2145D">
        <w:rPr>
          <w:rFonts w:cs="Arial"/>
          <w:color w:val="000000"/>
          <w:szCs w:val="22"/>
          <w:lang w:eastAsia="en-CA"/>
        </w:rPr>
        <w:t xml:space="preserve"> reviews its general emergency response policies.</w:t>
      </w:r>
    </w:p>
    <w:p w14:paraId="5BC81A96" w14:textId="28446B96" w:rsidR="00F83972" w:rsidRPr="00303368" w:rsidRDefault="00163F26" w:rsidP="000308C3">
      <w:pPr>
        <w:pStyle w:val="StyleHeading3LatinArial11ptBoldCustomColorRGB777"/>
      </w:pPr>
      <w:r w:rsidRPr="00303368">
        <w:t>3</w:t>
      </w:r>
      <w:r w:rsidR="00F83972" w:rsidRPr="00303368">
        <w:t xml:space="preserve">.5 </w:t>
      </w:r>
      <w:r w:rsidR="007831ED">
        <w:t xml:space="preserve">Documented </w:t>
      </w:r>
      <w:r w:rsidR="00F83972" w:rsidRPr="00303368">
        <w:t>Individual Accommodation Plans</w:t>
      </w:r>
    </w:p>
    <w:p w14:paraId="7F324B42" w14:textId="77777777" w:rsidR="007831ED" w:rsidRDefault="00DE3613"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7831ED">
        <w:rPr>
          <w:rFonts w:cs="Arial"/>
          <w:color w:val="000000" w:themeColor="text1"/>
          <w:sz w:val="22"/>
          <w:szCs w:val="22"/>
        </w:rPr>
        <w:t>APH</w:t>
      </w:r>
      <w:r w:rsidR="00F83972" w:rsidRPr="007831ED">
        <w:rPr>
          <w:rFonts w:cs="Arial"/>
          <w:color w:val="000000" w:themeColor="text1"/>
          <w:sz w:val="22"/>
          <w:szCs w:val="22"/>
        </w:rPr>
        <w:t xml:space="preserve"> </w:t>
      </w:r>
      <w:r w:rsidR="007831ED">
        <w:rPr>
          <w:rFonts w:cs="Arial"/>
          <w:color w:val="000000" w:themeColor="text1"/>
          <w:sz w:val="22"/>
          <w:szCs w:val="22"/>
        </w:rPr>
        <w:t>maintains</w:t>
      </w:r>
      <w:r w:rsidR="00F83972" w:rsidRPr="007831ED">
        <w:rPr>
          <w:rFonts w:cs="Arial"/>
          <w:color w:val="000000" w:themeColor="text1"/>
          <w:sz w:val="22"/>
          <w:szCs w:val="22"/>
        </w:rPr>
        <w:t xml:space="preserve"> a written process for the development of documented </w:t>
      </w:r>
      <w:r w:rsidR="007831ED">
        <w:rPr>
          <w:rFonts w:cs="Arial"/>
          <w:color w:val="000000" w:themeColor="text1"/>
          <w:sz w:val="22"/>
          <w:szCs w:val="22"/>
        </w:rPr>
        <w:t xml:space="preserve">individual accommodation plans </w:t>
      </w:r>
      <w:r w:rsidR="00F83972" w:rsidRPr="007831ED">
        <w:rPr>
          <w:rFonts w:cs="Arial"/>
          <w:color w:val="000000" w:themeColor="text1"/>
          <w:sz w:val="22"/>
          <w:szCs w:val="22"/>
        </w:rPr>
        <w:t xml:space="preserve">for employees with disabilities. </w:t>
      </w:r>
    </w:p>
    <w:p w14:paraId="5AC8CFEF" w14:textId="77777777" w:rsidR="007831ED" w:rsidRDefault="007831ED" w:rsidP="00D845AC">
      <w:pPr>
        <w:pStyle w:val="NormalWeb"/>
        <w:numPr>
          <w:ilvl w:val="0"/>
          <w:numId w:val="27"/>
        </w:numPr>
        <w:spacing w:before="120" w:beforeAutospacing="0" w:after="0" w:afterAutospacing="0"/>
        <w:textAlignment w:val="baseline"/>
        <w:rPr>
          <w:rFonts w:cs="Arial"/>
          <w:color w:val="000000" w:themeColor="text1"/>
          <w:sz w:val="22"/>
          <w:szCs w:val="22"/>
        </w:rPr>
      </w:pPr>
      <w:r>
        <w:rPr>
          <w:rFonts w:cs="Arial"/>
          <w:color w:val="000000" w:themeColor="text1"/>
          <w:sz w:val="22"/>
          <w:szCs w:val="22"/>
        </w:rPr>
        <w:t>Information regarding accessible formats and communications supports provided is included in individual accommodation plans.</w:t>
      </w:r>
    </w:p>
    <w:p w14:paraId="6D1FF276" w14:textId="77777777" w:rsidR="007831ED" w:rsidRPr="00D845AC" w:rsidRDefault="007831ED" w:rsidP="00D845AC">
      <w:pPr>
        <w:pStyle w:val="NormalWeb"/>
        <w:numPr>
          <w:ilvl w:val="0"/>
          <w:numId w:val="27"/>
        </w:numPr>
        <w:spacing w:before="120" w:beforeAutospacing="0" w:after="0" w:afterAutospacing="0"/>
        <w:textAlignment w:val="baseline"/>
        <w:rPr>
          <w:rFonts w:cs="Arial"/>
          <w:color w:val="000000" w:themeColor="text1"/>
          <w:sz w:val="22"/>
          <w:szCs w:val="22"/>
        </w:rPr>
      </w:pPr>
      <w:r>
        <w:rPr>
          <w:rFonts w:cs="Arial"/>
          <w:color w:val="000000" w:themeColor="text1"/>
          <w:sz w:val="22"/>
          <w:szCs w:val="22"/>
        </w:rPr>
        <w:t>The plans include individualized emergency response information where required and identify any other accommodation that is to be provided.</w:t>
      </w:r>
    </w:p>
    <w:p w14:paraId="1E8D394C" w14:textId="454B198C" w:rsidR="00F83972" w:rsidRPr="00303368" w:rsidRDefault="00163F26" w:rsidP="000308C3">
      <w:pPr>
        <w:pStyle w:val="StyleHeading3LatinArial11ptBoldCustomColorRGB777"/>
      </w:pPr>
      <w:r w:rsidRPr="00303368">
        <w:t>3</w:t>
      </w:r>
      <w:r w:rsidR="00F83972" w:rsidRPr="00303368">
        <w:t>.6 Return to Work</w:t>
      </w:r>
    </w:p>
    <w:p w14:paraId="2AEB55C5" w14:textId="77777777" w:rsidR="007831ED" w:rsidRDefault="00DE3613"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7831ED">
        <w:rPr>
          <w:rFonts w:cs="Arial"/>
          <w:color w:val="000000" w:themeColor="text1"/>
          <w:sz w:val="22"/>
          <w:szCs w:val="22"/>
        </w:rPr>
        <w:t>APH</w:t>
      </w:r>
      <w:r w:rsidR="00F83972" w:rsidRPr="007831ED">
        <w:rPr>
          <w:rFonts w:cs="Arial"/>
          <w:color w:val="000000" w:themeColor="text1"/>
          <w:sz w:val="22"/>
          <w:szCs w:val="22"/>
        </w:rPr>
        <w:t xml:space="preserve"> maintain</w:t>
      </w:r>
      <w:r w:rsidR="007831ED">
        <w:rPr>
          <w:rFonts w:cs="Arial"/>
          <w:color w:val="000000" w:themeColor="text1"/>
          <w:sz w:val="22"/>
          <w:szCs w:val="22"/>
        </w:rPr>
        <w:t>s</w:t>
      </w:r>
      <w:r w:rsidR="00F83972" w:rsidRPr="007831ED">
        <w:rPr>
          <w:rFonts w:cs="Arial"/>
          <w:color w:val="000000" w:themeColor="text1"/>
          <w:sz w:val="22"/>
          <w:szCs w:val="22"/>
        </w:rPr>
        <w:t xml:space="preserve"> a documented return to work process for its employees who have been absent from work due to a disability and who require disability-related accommodations in order to return to work. </w:t>
      </w:r>
    </w:p>
    <w:p w14:paraId="6E091DAD" w14:textId="77777777" w:rsidR="007831ED" w:rsidRDefault="00F83972"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7831ED">
        <w:rPr>
          <w:rFonts w:cs="Arial"/>
          <w:color w:val="000000" w:themeColor="text1"/>
          <w:sz w:val="22"/>
          <w:szCs w:val="22"/>
        </w:rPr>
        <w:t xml:space="preserve">The </w:t>
      </w:r>
      <w:r w:rsidR="007831ED">
        <w:rPr>
          <w:rFonts w:cs="Arial"/>
          <w:color w:val="000000" w:themeColor="text1"/>
          <w:sz w:val="22"/>
          <w:szCs w:val="22"/>
        </w:rPr>
        <w:t xml:space="preserve">process </w:t>
      </w:r>
      <w:r w:rsidRPr="007831ED">
        <w:rPr>
          <w:rFonts w:cs="Arial"/>
          <w:color w:val="000000" w:themeColor="text1"/>
          <w:sz w:val="22"/>
          <w:szCs w:val="22"/>
        </w:rPr>
        <w:t>outline</w:t>
      </w:r>
      <w:r w:rsidR="007831ED">
        <w:rPr>
          <w:rFonts w:cs="Arial"/>
          <w:color w:val="000000" w:themeColor="text1"/>
          <w:sz w:val="22"/>
          <w:szCs w:val="22"/>
        </w:rPr>
        <w:t>s</w:t>
      </w:r>
      <w:r w:rsidRPr="007831ED">
        <w:rPr>
          <w:rFonts w:cs="Arial"/>
          <w:color w:val="000000" w:themeColor="text1"/>
          <w:sz w:val="22"/>
          <w:szCs w:val="22"/>
        </w:rPr>
        <w:t xml:space="preserve"> the steps </w:t>
      </w:r>
      <w:r w:rsidR="00DE3613" w:rsidRPr="007831ED">
        <w:rPr>
          <w:rFonts w:cs="Arial"/>
          <w:color w:val="000000" w:themeColor="text1"/>
          <w:sz w:val="22"/>
          <w:szCs w:val="22"/>
        </w:rPr>
        <w:t>APH</w:t>
      </w:r>
      <w:r w:rsidRPr="007831ED">
        <w:rPr>
          <w:rFonts w:cs="Arial"/>
          <w:color w:val="000000" w:themeColor="text1"/>
          <w:sz w:val="22"/>
          <w:szCs w:val="22"/>
        </w:rPr>
        <w:t xml:space="preserve"> take</w:t>
      </w:r>
      <w:r w:rsidR="007831ED">
        <w:rPr>
          <w:rFonts w:cs="Arial"/>
          <w:color w:val="000000" w:themeColor="text1"/>
          <w:sz w:val="22"/>
          <w:szCs w:val="22"/>
        </w:rPr>
        <w:t>s</w:t>
      </w:r>
      <w:r w:rsidRPr="007831ED">
        <w:rPr>
          <w:rFonts w:cs="Arial"/>
          <w:color w:val="000000" w:themeColor="text1"/>
          <w:sz w:val="22"/>
          <w:szCs w:val="22"/>
        </w:rPr>
        <w:t xml:space="preserve"> to facilitate the return to work and </w:t>
      </w:r>
      <w:r w:rsidR="007831ED">
        <w:rPr>
          <w:rFonts w:cs="Arial"/>
          <w:color w:val="000000" w:themeColor="text1"/>
          <w:sz w:val="22"/>
          <w:szCs w:val="22"/>
        </w:rPr>
        <w:t>i</w:t>
      </w:r>
      <w:r w:rsidRPr="007831ED">
        <w:rPr>
          <w:rFonts w:cs="Arial"/>
          <w:color w:val="000000" w:themeColor="text1"/>
          <w:sz w:val="22"/>
          <w:szCs w:val="22"/>
        </w:rPr>
        <w:t>nclude</w:t>
      </w:r>
      <w:r w:rsidR="007831ED">
        <w:rPr>
          <w:rFonts w:cs="Arial"/>
          <w:color w:val="000000" w:themeColor="text1"/>
          <w:sz w:val="22"/>
          <w:szCs w:val="22"/>
        </w:rPr>
        <w:t>s</w:t>
      </w:r>
      <w:r w:rsidRPr="007831ED">
        <w:rPr>
          <w:rFonts w:cs="Arial"/>
          <w:color w:val="000000" w:themeColor="text1"/>
          <w:sz w:val="22"/>
          <w:szCs w:val="22"/>
        </w:rPr>
        <w:t xml:space="preserve"> documented </w:t>
      </w:r>
      <w:r w:rsidR="007831ED">
        <w:rPr>
          <w:rFonts w:cs="Arial"/>
          <w:color w:val="000000" w:themeColor="text1"/>
          <w:sz w:val="22"/>
          <w:szCs w:val="22"/>
        </w:rPr>
        <w:t xml:space="preserve">individual accommodation plans </w:t>
      </w:r>
      <w:r w:rsidRPr="007831ED">
        <w:rPr>
          <w:rFonts w:cs="Arial"/>
          <w:color w:val="000000" w:themeColor="text1"/>
          <w:sz w:val="22"/>
          <w:szCs w:val="22"/>
        </w:rPr>
        <w:t xml:space="preserve">as part of the process. </w:t>
      </w:r>
    </w:p>
    <w:p w14:paraId="2ADBE1F7" w14:textId="13B3A68D" w:rsidR="00F83972" w:rsidRPr="007831ED" w:rsidRDefault="00F83972"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7831ED">
        <w:rPr>
          <w:rFonts w:cs="Arial"/>
          <w:color w:val="000000" w:themeColor="text1"/>
          <w:sz w:val="22"/>
          <w:szCs w:val="22"/>
        </w:rPr>
        <w:t xml:space="preserve">This </w:t>
      </w:r>
      <w:proofErr w:type="gramStart"/>
      <w:r w:rsidRPr="007831ED">
        <w:rPr>
          <w:rFonts w:cs="Arial"/>
          <w:color w:val="000000" w:themeColor="text1"/>
          <w:sz w:val="22"/>
          <w:szCs w:val="22"/>
        </w:rPr>
        <w:t>return to work</w:t>
      </w:r>
      <w:proofErr w:type="gramEnd"/>
      <w:r w:rsidRPr="007831ED">
        <w:rPr>
          <w:rFonts w:cs="Arial"/>
          <w:color w:val="000000" w:themeColor="text1"/>
          <w:sz w:val="22"/>
          <w:szCs w:val="22"/>
        </w:rPr>
        <w:t xml:space="preserve"> process does not replace or override any other return to work process created by or under any other statute.</w:t>
      </w:r>
    </w:p>
    <w:p w14:paraId="507893E6" w14:textId="7543FF12" w:rsidR="00F83972" w:rsidRPr="00303368" w:rsidRDefault="00163F26" w:rsidP="000308C3">
      <w:pPr>
        <w:pStyle w:val="StyleHeading3LatinArial11ptBoldCustomColorRGB777"/>
      </w:pPr>
      <w:r w:rsidRPr="00303368">
        <w:t>3</w:t>
      </w:r>
      <w:r w:rsidR="00F83972" w:rsidRPr="00303368">
        <w:t>.7 Performance Management</w:t>
      </w:r>
      <w:r w:rsidR="00384122">
        <w:t xml:space="preserve">, </w:t>
      </w:r>
      <w:r w:rsidR="00F83972" w:rsidRPr="00303368">
        <w:t>Career Development</w:t>
      </w:r>
      <w:r w:rsidR="00384122">
        <w:t>, and Advancement &amp; Redeployment</w:t>
      </w:r>
    </w:p>
    <w:p w14:paraId="2C09D505" w14:textId="22E78B26" w:rsidR="00F83972" w:rsidRDefault="00DE3613"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7831ED">
        <w:rPr>
          <w:rFonts w:cs="Arial"/>
          <w:color w:val="000000" w:themeColor="text1"/>
          <w:sz w:val="22"/>
          <w:szCs w:val="22"/>
        </w:rPr>
        <w:t>APH</w:t>
      </w:r>
      <w:r w:rsidR="00F83972" w:rsidRPr="007831ED">
        <w:rPr>
          <w:rFonts w:cs="Arial"/>
          <w:color w:val="000000" w:themeColor="text1"/>
          <w:sz w:val="22"/>
          <w:szCs w:val="22"/>
        </w:rPr>
        <w:t xml:space="preserve"> </w:t>
      </w:r>
      <w:r w:rsidR="00384122">
        <w:rPr>
          <w:rFonts w:cs="Arial"/>
          <w:color w:val="000000" w:themeColor="text1"/>
          <w:sz w:val="22"/>
          <w:szCs w:val="22"/>
        </w:rPr>
        <w:t>considers</w:t>
      </w:r>
      <w:r w:rsidR="00F83972" w:rsidRPr="007831ED">
        <w:rPr>
          <w:rFonts w:cs="Arial"/>
          <w:color w:val="000000" w:themeColor="text1"/>
          <w:sz w:val="22"/>
          <w:szCs w:val="22"/>
        </w:rPr>
        <w:t xml:space="preserve"> the accessibility needs of employees with disabilities, as well as </w:t>
      </w:r>
      <w:r w:rsidR="00384122">
        <w:rPr>
          <w:rFonts w:cs="Arial"/>
          <w:color w:val="000000" w:themeColor="text1"/>
          <w:sz w:val="22"/>
          <w:szCs w:val="22"/>
        </w:rPr>
        <w:t>takes into account the individual accommodation plans, wh</w:t>
      </w:r>
      <w:r w:rsidR="00F83972" w:rsidRPr="007831ED">
        <w:rPr>
          <w:rFonts w:cs="Arial"/>
          <w:color w:val="000000" w:themeColor="text1"/>
          <w:sz w:val="22"/>
          <w:szCs w:val="22"/>
        </w:rPr>
        <w:t xml:space="preserve">en conducting </w:t>
      </w:r>
      <w:r w:rsidR="00384122">
        <w:rPr>
          <w:rFonts w:cs="Arial"/>
          <w:color w:val="000000" w:themeColor="text1"/>
          <w:sz w:val="22"/>
          <w:szCs w:val="22"/>
        </w:rPr>
        <w:t>p</w:t>
      </w:r>
      <w:r w:rsidR="00F83972" w:rsidRPr="007831ED">
        <w:rPr>
          <w:rFonts w:cs="Arial"/>
          <w:color w:val="000000" w:themeColor="text1"/>
          <w:sz w:val="22"/>
          <w:szCs w:val="22"/>
        </w:rPr>
        <w:t xml:space="preserve">erformance </w:t>
      </w:r>
      <w:r w:rsidR="00384122">
        <w:rPr>
          <w:rFonts w:cs="Arial"/>
          <w:color w:val="000000" w:themeColor="text1"/>
          <w:sz w:val="22"/>
          <w:szCs w:val="22"/>
        </w:rPr>
        <w:t>m</w:t>
      </w:r>
      <w:r w:rsidR="00F83972" w:rsidRPr="007831ED">
        <w:rPr>
          <w:rFonts w:cs="Arial"/>
          <w:color w:val="000000" w:themeColor="text1"/>
          <w:sz w:val="22"/>
          <w:szCs w:val="22"/>
        </w:rPr>
        <w:t>anagement</w:t>
      </w:r>
      <w:r w:rsidR="00384122">
        <w:rPr>
          <w:rFonts w:cs="Arial"/>
          <w:color w:val="000000" w:themeColor="text1"/>
          <w:sz w:val="22"/>
          <w:szCs w:val="22"/>
        </w:rPr>
        <w:t>,</w:t>
      </w:r>
      <w:r w:rsidR="00F83972" w:rsidRPr="007831ED">
        <w:rPr>
          <w:rFonts w:cs="Arial"/>
          <w:color w:val="000000" w:themeColor="text1"/>
          <w:sz w:val="22"/>
          <w:szCs w:val="22"/>
        </w:rPr>
        <w:t xml:space="preserve"> providing </w:t>
      </w:r>
      <w:r w:rsidR="00384122">
        <w:rPr>
          <w:rFonts w:cs="Arial"/>
          <w:color w:val="000000" w:themeColor="text1"/>
          <w:sz w:val="22"/>
          <w:szCs w:val="22"/>
        </w:rPr>
        <w:t>c</w:t>
      </w:r>
      <w:r w:rsidR="00F83972" w:rsidRPr="007831ED">
        <w:rPr>
          <w:rFonts w:cs="Arial"/>
          <w:color w:val="000000" w:themeColor="text1"/>
          <w:sz w:val="22"/>
          <w:szCs w:val="22"/>
        </w:rPr>
        <w:t xml:space="preserve">areer </w:t>
      </w:r>
      <w:r w:rsidR="00384122">
        <w:rPr>
          <w:rFonts w:cs="Arial"/>
          <w:color w:val="000000" w:themeColor="text1"/>
          <w:sz w:val="22"/>
          <w:szCs w:val="22"/>
        </w:rPr>
        <w:t>d</w:t>
      </w:r>
      <w:r w:rsidR="00F83972" w:rsidRPr="007831ED">
        <w:rPr>
          <w:rFonts w:cs="Arial"/>
          <w:color w:val="000000" w:themeColor="text1"/>
          <w:sz w:val="22"/>
          <w:szCs w:val="22"/>
        </w:rPr>
        <w:t xml:space="preserve">evelopment and </w:t>
      </w:r>
      <w:r w:rsidR="00384122">
        <w:rPr>
          <w:rFonts w:cs="Arial"/>
          <w:color w:val="000000" w:themeColor="text1"/>
          <w:sz w:val="22"/>
          <w:szCs w:val="22"/>
        </w:rPr>
        <w:t>a</w:t>
      </w:r>
      <w:r w:rsidR="00F83972" w:rsidRPr="007831ED">
        <w:rPr>
          <w:rFonts w:cs="Arial"/>
          <w:color w:val="000000" w:themeColor="text1"/>
          <w:sz w:val="22"/>
          <w:szCs w:val="22"/>
        </w:rPr>
        <w:t>dvancement opportunities to employees.</w:t>
      </w:r>
    </w:p>
    <w:p w14:paraId="684D8061" w14:textId="3F25B7B6" w:rsidR="00985981" w:rsidRDefault="00A71D64" w:rsidP="00576C44">
      <w:pPr>
        <w:pStyle w:val="ListParagraph"/>
        <w:numPr>
          <w:ilvl w:val="0"/>
          <w:numId w:val="20"/>
        </w:numPr>
        <w:tabs>
          <w:tab w:val="left" w:pos="360"/>
          <w:tab w:val="left" w:pos="720"/>
        </w:tabs>
        <w:spacing w:before="240"/>
        <w:rPr>
          <w:b/>
          <w:u w:val="single"/>
        </w:rPr>
      </w:pPr>
      <w:r w:rsidRPr="00576C44">
        <w:rPr>
          <w:b/>
          <w:u w:val="single"/>
        </w:rPr>
        <w:t>CUSTOMER SERVICE STANDARDS</w:t>
      </w:r>
      <w:r w:rsidRPr="00AD22AA">
        <w:rPr>
          <w:b/>
        </w:rPr>
        <w:t>:</w:t>
      </w:r>
    </w:p>
    <w:p w14:paraId="5EB587A2" w14:textId="4DC5FCDF" w:rsidR="00F83972" w:rsidRDefault="00384122" w:rsidP="000308C3">
      <w:pPr>
        <w:pStyle w:val="StyleHeading3LatinArial11ptBoldCustomColorRGB777"/>
      </w:pPr>
      <w:r>
        <w:t>4</w:t>
      </w:r>
      <w:r w:rsidR="00F83972" w:rsidRPr="00F06369">
        <w:t xml:space="preserve">.1 </w:t>
      </w:r>
      <w:r>
        <w:t>Establishment of Policies</w:t>
      </w:r>
    </w:p>
    <w:p w14:paraId="4EE32FF4" w14:textId="3804480D" w:rsidR="00384122" w:rsidRPr="00384122" w:rsidRDefault="00384122"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84122">
        <w:rPr>
          <w:rFonts w:cs="Arial"/>
          <w:color w:val="000000" w:themeColor="text1"/>
          <w:sz w:val="22"/>
          <w:szCs w:val="22"/>
        </w:rPr>
        <w:t>Accessibility measures are built into decision-making processes, short- and long-term program planning, purchasing, event planning, emergency planning, and the development of new services</w:t>
      </w:r>
      <w:r w:rsidR="00AE1003">
        <w:rPr>
          <w:rFonts w:cs="Arial"/>
          <w:color w:val="000000" w:themeColor="text1"/>
          <w:sz w:val="22"/>
          <w:szCs w:val="22"/>
        </w:rPr>
        <w:t>.</w:t>
      </w:r>
    </w:p>
    <w:p w14:paraId="3F82DD10" w14:textId="6AD2A604" w:rsidR="00384122" w:rsidRDefault="00384122"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84122">
        <w:rPr>
          <w:rFonts w:cs="Arial"/>
          <w:color w:val="000000" w:themeColor="text1"/>
          <w:sz w:val="22"/>
          <w:szCs w:val="22"/>
        </w:rPr>
        <w:t>Policies, procedures, and practices are developed taking persons with disabilities into consideration and are available upon request</w:t>
      </w:r>
      <w:r w:rsidR="00AE1003">
        <w:rPr>
          <w:rFonts w:cs="Arial"/>
          <w:color w:val="000000" w:themeColor="text1"/>
          <w:sz w:val="22"/>
          <w:szCs w:val="22"/>
        </w:rPr>
        <w:t>.</w:t>
      </w:r>
    </w:p>
    <w:p w14:paraId="4AEDB948" w14:textId="3C9D1962" w:rsidR="009B569A" w:rsidRPr="009B569A" w:rsidRDefault="009B569A" w:rsidP="009B569A">
      <w:pPr>
        <w:pStyle w:val="StyleHeading3LatinArial11ptBoldCustomColorRGB777"/>
      </w:pPr>
      <w:r>
        <w:t>4.</w:t>
      </w:r>
      <w:r w:rsidR="00E0251D">
        <w:t>2</w:t>
      </w:r>
      <w:r>
        <w:tab/>
      </w:r>
      <w:r w:rsidRPr="009B569A">
        <w:t>Communication</w:t>
      </w:r>
    </w:p>
    <w:p w14:paraId="3E9EBB1D" w14:textId="2D25F504" w:rsidR="009B569A" w:rsidRDefault="009B569A" w:rsidP="009B569A">
      <w:pPr>
        <w:pStyle w:val="ListParagraph"/>
        <w:numPr>
          <w:ilvl w:val="0"/>
          <w:numId w:val="27"/>
        </w:numPr>
        <w:rPr>
          <w:rFonts w:cs="Arial"/>
          <w:szCs w:val="22"/>
        </w:rPr>
      </w:pPr>
      <w:r w:rsidRPr="009B569A">
        <w:rPr>
          <w:rFonts w:cs="Arial"/>
          <w:szCs w:val="22"/>
        </w:rPr>
        <w:t>Employees communicate with people with disabilities in ways that take into account their disabilities</w:t>
      </w:r>
      <w:bookmarkStart w:id="2" w:name="_Int_mdKvMw2U"/>
      <w:r w:rsidRPr="009B569A">
        <w:rPr>
          <w:rFonts w:cs="Arial"/>
          <w:szCs w:val="22"/>
        </w:rPr>
        <w:t xml:space="preserve">. </w:t>
      </w:r>
      <w:bookmarkEnd w:id="2"/>
      <w:r w:rsidRPr="009B569A">
        <w:rPr>
          <w:rFonts w:cs="Arial"/>
          <w:szCs w:val="22"/>
        </w:rPr>
        <w:t>Accessible customer service requires employees to overcome and find ways around different barriers that c</w:t>
      </w:r>
      <w:r w:rsidR="00E0251D">
        <w:rPr>
          <w:rFonts w:cs="Arial"/>
          <w:szCs w:val="22"/>
        </w:rPr>
        <w:t>lient</w:t>
      </w:r>
      <w:r w:rsidRPr="009B569A">
        <w:rPr>
          <w:rFonts w:cs="Arial"/>
          <w:szCs w:val="22"/>
        </w:rPr>
        <w:t xml:space="preserve">s may have. </w:t>
      </w:r>
    </w:p>
    <w:p w14:paraId="319014DC" w14:textId="43D20BC4" w:rsidR="00E0251D" w:rsidRPr="00832706" w:rsidRDefault="00E0251D" w:rsidP="00E0251D">
      <w:pPr>
        <w:pStyle w:val="StyleHeading3LatinArial11ptBoldCustomColorRGB777"/>
      </w:pPr>
      <w:r>
        <w:t>4.3</w:t>
      </w:r>
      <w:r>
        <w:tab/>
      </w:r>
      <w:r w:rsidRPr="00832706">
        <w:t>Assistive Devices</w:t>
      </w:r>
    </w:p>
    <w:p w14:paraId="2435732C" w14:textId="56A25B05" w:rsidR="00E0251D" w:rsidRPr="00E0251D" w:rsidRDefault="00E0251D" w:rsidP="00E0251D">
      <w:pPr>
        <w:pStyle w:val="NormalWeb"/>
        <w:numPr>
          <w:ilvl w:val="0"/>
          <w:numId w:val="27"/>
        </w:numPr>
        <w:spacing w:before="120" w:beforeAutospacing="0" w:after="0" w:afterAutospacing="0"/>
        <w:textAlignment w:val="baseline"/>
        <w:rPr>
          <w:rFonts w:cs="Arial"/>
          <w:color w:val="000000" w:themeColor="text1"/>
          <w:sz w:val="22"/>
          <w:szCs w:val="22"/>
        </w:rPr>
      </w:pPr>
      <w:r w:rsidRPr="00603FB0">
        <w:rPr>
          <w:rFonts w:cs="Arial"/>
          <w:color w:val="000000" w:themeColor="text1"/>
          <w:sz w:val="22"/>
          <w:szCs w:val="22"/>
        </w:rPr>
        <w:t>APH make</w:t>
      </w:r>
      <w:r>
        <w:rPr>
          <w:rFonts w:cs="Arial"/>
          <w:color w:val="000000" w:themeColor="text1"/>
          <w:sz w:val="22"/>
          <w:szCs w:val="22"/>
        </w:rPr>
        <w:t>s</w:t>
      </w:r>
      <w:r w:rsidRPr="00603FB0">
        <w:rPr>
          <w:rFonts w:cs="Arial"/>
          <w:color w:val="000000" w:themeColor="text1"/>
          <w:sz w:val="22"/>
          <w:szCs w:val="22"/>
        </w:rPr>
        <w:t xml:space="preserve"> reasonable efforts to ensure that any </w:t>
      </w:r>
      <w:r>
        <w:rPr>
          <w:rFonts w:cs="Arial"/>
          <w:color w:val="000000" w:themeColor="text1"/>
          <w:sz w:val="22"/>
          <w:szCs w:val="22"/>
        </w:rPr>
        <w:t>a</w:t>
      </w:r>
      <w:r w:rsidRPr="00603FB0">
        <w:rPr>
          <w:rFonts w:cs="Arial"/>
          <w:color w:val="000000" w:themeColor="text1"/>
          <w:sz w:val="22"/>
          <w:szCs w:val="22"/>
        </w:rPr>
        <w:t xml:space="preserve">ssistive </w:t>
      </w:r>
      <w:r>
        <w:rPr>
          <w:rFonts w:cs="Arial"/>
          <w:color w:val="000000" w:themeColor="text1"/>
          <w:sz w:val="22"/>
          <w:szCs w:val="22"/>
        </w:rPr>
        <w:t>d</w:t>
      </w:r>
      <w:r w:rsidRPr="00603FB0">
        <w:rPr>
          <w:rFonts w:cs="Arial"/>
          <w:color w:val="000000" w:themeColor="text1"/>
          <w:sz w:val="22"/>
          <w:szCs w:val="22"/>
        </w:rPr>
        <w:t xml:space="preserve">evice required by a person with a disability can be used by such person when on APH </w:t>
      </w:r>
      <w:r>
        <w:rPr>
          <w:rFonts w:cs="Arial"/>
          <w:color w:val="000000" w:themeColor="text1"/>
          <w:sz w:val="22"/>
          <w:szCs w:val="22"/>
        </w:rPr>
        <w:t>p</w:t>
      </w:r>
      <w:r w:rsidRPr="00603FB0">
        <w:rPr>
          <w:rFonts w:cs="Arial"/>
          <w:color w:val="000000" w:themeColor="text1"/>
          <w:sz w:val="22"/>
          <w:szCs w:val="22"/>
        </w:rPr>
        <w:t>remises.</w:t>
      </w:r>
    </w:p>
    <w:p w14:paraId="3E606CFD" w14:textId="45ED43C5" w:rsidR="00F83972" w:rsidRDefault="00384122" w:rsidP="000308C3">
      <w:pPr>
        <w:pStyle w:val="StyleHeading3LatinArial11ptBoldCustomColorRGB777"/>
      </w:pPr>
      <w:r>
        <w:t>4</w:t>
      </w:r>
      <w:r w:rsidR="00F83972" w:rsidRPr="00F06369">
        <w:t>.</w:t>
      </w:r>
      <w:r w:rsidR="00E0251D">
        <w:t>4</w:t>
      </w:r>
      <w:r w:rsidR="00F83972" w:rsidRPr="00F06369">
        <w:t xml:space="preserve"> </w:t>
      </w:r>
      <w:r>
        <w:t xml:space="preserve">Use of </w:t>
      </w:r>
      <w:r w:rsidR="00F83972" w:rsidRPr="00F06369">
        <w:t>Service Animals</w:t>
      </w:r>
      <w:r>
        <w:t xml:space="preserve"> and Support Persons</w:t>
      </w:r>
    </w:p>
    <w:p w14:paraId="618B4518" w14:textId="58F7DAE1" w:rsidR="00E0251D" w:rsidRDefault="00AD1F67" w:rsidP="00EC6FA6">
      <w:pPr>
        <w:pStyle w:val="NormalWeb"/>
        <w:numPr>
          <w:ilvl w:val="0"/>
          <w:numId w:val="27"/>
        </w:numPr>
        <w:spacing w:before="120" w:beforeAutospacing="0" w:after="0" w:afterAutospacing="0"/>
        <w:textAlignment w:val="baseline"/>
        <w:rPr>
          <w:rFonts w:cs="Arial"/>
          <w:color w:val="000000" w:themeColor="text1"/>
          <w:sz w:val="22"/>
          <w:szCs w:val="22"/>
        </w:rPr>
      </w:pPr>
      <w:r w:rsidRPr="00E0251D">
        <w:rPr>
          <w:rFonts w:cs="Arial"/>
          <w:color w:val="000000" w:themeColor="text1"/>
          <w:sz w:val="22"/>
          <w:szCs w:val="22"/>
        </w:rPr>
        <w:t>APH allow</w:t>
      </w:r>
      <w:r w:rsidR="00E0251D">
        <w:rPr>
          <w:rFonts w:cs="Arial"/>
          <w:color w:val="000000" w:themeColor="text1"/>
          <w:sz w:val="22"/>
          <w:szCs w:val="22"/>
        </w:rPr>
        <w:t>s</w:t>
      </w:r>
      <w:r w:rsidRPr="00E0251D">
        <w:rPr>
          <w:rFonts w:cs="Arial"/>
          <w:color w:val="000000" w:themeColor="text1"/>
          <w:sz w:val="22"/>
          <w:szCs w:val="22"/>
        </w:rPr>
        <w:t xml:space="preserve"> people with disabilities to be accompanied by their service animal in those areas of the premises that APH owns or operates that are open to the public, unless the animal is excluded by law, such as food preparation areas as prohibited by Food Premises, R.R.O. 1990, Reg. 562 under the Health Protection &amp; Promotion Act, R.S.O. 1990, c. H. 7. If a service animal is excluded by law, employees will use other measures to provide services to the person with a disability. </w:t>
      </w:r>
    </w:p>
    <w:p w14:paraId="155A5F19" w14:textId="0708394F" w:rsidR="00AD1F67" w:rsidRPr="00E0251D" w:rsidRDefault="00AD1F67" w:rsidP="00EC6FA6">
      <w:pPr>
        <w:pStyle w:val="NormalWeb"/>
        <w:numPr>
          <w:ilvl w:val="0"/>
          <w:numId w:val="27"/>
        </w:numPr>
        <w:spacing w:before="120" w:beforeAutospacing="0" w:after="0" w:afterAutospacing="0"/>
        <w:textAlignment w:val="baseline"/>
        <w:rPr>
          <w:rFonts w:cs="Arial"/>
          <w:color w:val="000000" w:themeColor="text1"/>
          <w:sz w:val="22"/>
          <w:szCs w:val="22"/>
        </w:rPr>
      </w:pPr>
      <w:r w:rsidRPr="00E0251D">
        <w:rPr>
          <w:rFonts w:cs="Arial"/>
          <w:color w:val="000000" w:themeColor="text1"/>
          <w:sz w:val="22"/>
          <w:szCs w:val="22"/>
        </w:rPr>
        <w:t>In cases where an employee cannot identify that an animal is a service animal, it may be requested that the client provide documentation from a regulated health professional authorized under s. 80.45 (4b) of Reg. 191/11 that confirms the person’s need for the service animal.</w:t>
      </w:r>
    </w:p>
    <w:p w14:paraId="4A24392A" w14:textId="597901B2" w:rsidR="00384122" w:rsidRDefault="00384122"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84122">
        <w:rPr>
          <w:rFonts w:cs="Arial"/>
          <w:color w:val="000000" w:themeColor="text1"/>
          <w:sz w:val="22"/>
          <w:szCs w:val="22"/>
        </w:rPr>
        <w:t>If a person with a disability is accompanied by a service animal, the person is permitted to keep the animal with him or her during the provision of service</w:t>
      </w:r>
      <w:r>
        <w:rPr>
          <w:rFonts w:cs="Arial"/>
          <w:color w:val="000000" w:themeColor="text1"/>
          <w:sz w:val="22"/>
          <w:szCs w:val="22"/>
        </w:rPr>
        <w:t>.</w:t>
      </w:r>
    </w:p>
    <w:p w14:paraId="1242EE25" w14:textId="2BEE026E" w:rsidR="00AD1F67" w:rsidRPr="00AD1F67" w:rsidRDefault="00AD1F67" w:rsidP="00AD1F67">
      <w:pPr>
        <w:pStyle w:val="ListParagraph"/>
        <w:numPr>
          <w:ilvl w:val="0"/>
          <w:numId w:val="27"/>
        </w:numPr>
        <w:rPr>
          <w:rFonts w:cs="Arial"/>
          <w:szCs w:val="22"/>
        </w:rPr>
      </w:pPr>
      <w:r w:rsidRPr="00AD1F67">
        <w:rPr>
          <w:rFonts w:cs="Arial"/>
          <w:szCs w:val="22"/>
        </w:rPr>
        <w:t xml:space="preserve">In cases that call into question the health or safety of the person with the disability or others on the premise, </w:t>
      </w:r>
      <w:r>
        <w:rPr>
          <w:rFonts w:cs="Arial"/>
          <w:szCs w:val="22"/>
        </w:rPr>
        <w:t>APH</w:t>
      </w:r>
      <w:r w:rsidRPr="00AD1F67">
        <w:rPr>
          <w:rFonts w:cs="Arial"/>
          <w:szCs w:val="22"/>
        </w:rPr>
        <w:t xml:space="preserve"> may require people with a disability to be accompanied by a support person</w:t>
      </w:r>
      <w:bookmarkStart w:id="3" w:name="_Int_w8ezQ0cn"/>
      <w:r w:rsidRPr="00AD1F67">
        <w:rPr>
          <w:rFonts w:cs="Arial"/>
          <w:szCs w:val="22"/>
        </w:rPr>
        <w:t xml:space="preserve">. </w:t>
      </w:r>
      <w:bookmarkEnd w:id="3"/>
      <w:r w:rsidRPr="00AD1F67">
        <w:rPr>
          <w:rFonts w:cs="Arial"/>
          <w:szCs w:val="22"/>
        </w:rPr>
        <w:t xml:space="preserve">Employees will consult with the person with a disability, consider health or safety reasons based on available evidence, and determine if there is no other reasonable way to protect the health or safety of the person or others on the premises prior to deciding if a support person is required. If it is determined that a support person is required, </w:t>
      </w:r>
      <w:r>
        <w:rPr>
          <w:rFonts w:cs="Arial"/>
          <w:szCs w:val="22"/>
        </w:rPr>
        <w:t>APH</w:t>
      </w:r>
      <w:r w:rsidRPr="00AD1F67">
        <w:rPr>
          <w:rFonts w:cs="Arial"/>
          <w:szCs w:val="22"/>
        </w:rPr>
        <w:t xml:space="preserve"> will waive the admission fee or fare, if applicable, for the support person.</w:t>
      </w:r>
    </w:p>
    <w:p w14:paraId="769EE3E3" w14:textId="17C12754" w:rsidR="00384122" w:rsidRPr="00384122" w:rsidRDefault="00384122"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384122">
        <w:rPr>
          <w:rFonts w:cs="Arial"/>
          <w:color w:val="000000" w:themeColor="text1"/>
          <w:sz w:val="22"/>
          <w:szCs w:val="22"/>
        </w:rPr>
        <w:t xml:space="preserve">If a person with a disability is accompanied by a support person, </w:t>
      </w:r>
      <w:r>
        <w:rPr>
          <w:rFonts w:cs="Arial"/>
          <w:color w:val="000000" w:themeColor="text1"/>
          <w:sz w:val="22"/>
          <w:szCs w:val="22"/>
        </w:rPr>
        <w:t>APH</w:t>
      </w:r>
      <w:r w:rsidRPr="00384122">
        <w:rPr>
          <w:rFonts w:cs="Arial"/>
          <w:color w:val="000000" w:themeColor="text1"/>
          <w:sz w:val="22"/>
          <w:szCs w:val="22"/>
        </w:rPr>
        <w:t xml:space="preserve"> ensures that the person with the disability is not prevented from having access to the support person while on the premises</w:t>
      </w:r>
      <w:r>
        <w:rPr>
          <w:rFonts w:cs="Arial"/>
          <w:color w:val="000000" w:themeColor="text1"/>
          <w:sz w:val="22"/>
          <w:szCs w:val="22"/>
        </w:rPr>
        <w:t>.</w:t>
      </w:r>
    </w:p>
    <w:p w14:paraId="063167F8" w14:textId="52FC7E36" w:rsidR="00F83972" w:rsidRPr="00F06369" w:rsidRDefault="00C54906" w:rsidP="000308C3">
      <w:pPr>
        <w:pStyle w:val="StyleHeading3LatinArial11ptBoldCustomColorRGB777"/>
      </w:pPr>
      <w:r>
        <w:t>4.</w:t>
      </w:r>
      <w:r w:rsidR="00E0251D">
        <w:t>5</w:t>
      </w:r>
      <w:r>
        <w:tab/>
      </w:r>
      <w:r w:rsidR="00F83972" w:rsidRPr="00F06369">
        <w:t>Training</w:t>
      </w:r>
      <w:r w:rsidR="000308C3">
        <w:t xml:space="preserve"> for Staff, etc.</w:t>
      </w:r>
    </w:p>
    <w:p w14:paraId="2F6A1E88" w14:textId="0F8DC7B6" w:rsidR="00832706" w:rsidRDefault="00832706" w:rsidP="00D845AC">
      <w:pPr>
        <w:pStyle w:val="NormalWeb"/>
        <w:numPr>
          <w:ilvl w:val="0"/>
          <w:numId w:val="27"/>
        </w:numPr>
        <w:spacing w:before="120" w:beforeAutospacing="0" w:after="0" w:afterAutospacing="0"/>
        <w:textAlignment w:val="baseline"/>
        <w:rPr>
          <w:rFonts w:cs="Arial"/>
          <w:color w:val="000000" w:themeColor="text1"/>
          <w:sz w:val="22"/>
          <w:szCs w:val="22"/>
        </w:rPr>
      </w:pPr>
      <w:r w:rsidRPr="00832706">
        <w:rPr>
          <w:rFonts w:cs="Arial"/>
          <w:color w:val="000000" w:themeColor="text1"/>
          <w:sz w:val="22"/>
          <w:szCs w:val="22"/>
        </w:rPr>
        <w:t xml:space="preserve">In addition to </w:t>
      </w:r>
      <w:r w:rsidR="00C54906">
        <w:rPr>
          <w:rFonts w:cs="Arial"/>
          <w:color w:val="000000" w:themeColor="text1"/>
          <w:sz w:val="22"/>
          <w:szCs w:val="22"/>
        </w:rPr>
        <w:t>1</w:t>
      </w:r>
      <w:r w:rsidRPr="00832706">
        <w:rPr>
          <w:rFonts w:cs="Arial"/>
          <w:color w:val="000000" w:themeColor="text1"/>
          <w:sz w:val="22"/>
          <w:szCs w:val="22"/>
        </w:rPr>
        <w:t xml:space="preserve">.2, </w:t>
      </w:r>
      <w:r w:rsidR="00C54906">
        <w:rPr>
          <w:rFonts w:cs="Arial"/>
          <w:color w:val="000000" w:themeColor="text1"/>
          <w:sz w:val="22"/>
          <w:szCs w:val="22"/>
        </w:rPr>
        <w:t>APH</w:t>
      </w:r>
      <w:r w:rsidRPr="00832706">
        <w:rPr>
          <w:rFonts w:cs="Arial"/>
          <w:color w:val="000000" w:themeColor="text1"/>
          <w:sz w:val="22"/>
          <w:szCs w:val="22"/>
        </w:rPr>
        <w:t xml:space="preserve"> ensures that all staff, volunteers, persons who develop policies, and all others who provide service on behalf of </w:t>
      </w:r>
      <w:r w:rsidR="00C54906">
        <w:rPr>
          <w:rFonts w:cs="Arial"/>
          <w:color w:val="000000" w:themeColor="text1"/>
          <w:sz w:val="22"/>
          <w:szCs w:val="22"/>
        </w:rPr>
        <w:t>APH</w:t>
      </w:r>
      <w:r w:rsidRPr="00832706">
        <w:rPr>
          <w:rFonts w:cs="Arial"/>
          <w:color w:val="000000" w:themeColor="text1"/>
          <w:sz w:val="22"/>
          <w:szCs w:val="22"/>
        </w:rPr>
        <w:t>, receive training about how to provide accessible customer service to persons with disabilities</w:t>
      </w:r>
      <w:r w:rsidR="00E3099D">
        <w:rPr>
          <w:rFonts w:cs="Arial"/>
          <w:color w:val="000000" w:themeColor="text1"/>
          <w:sz w:val="22"/>
          <w:szCs w:val="22"/>
        </w:rPr>
        <w:t>.</w:t>
      </w:r>
    </w:p>
    <w:p w14:paraId="704CE1CF" w14:textId="0D03BD38" w:rsidR="00E3099D" w:rsidRPr="00E3099D" w:rsidRDefault="00E3099D" w:rsidP="00E3099D">
      <w:pPr>
        <w:pStyle w:val="NormalWeb"/>
        <w:numPr>
          <w:ilvl w:val="0"/>
          <w:numId w:val="27"/>
        </w:numPr>
        <w:spacing w:before="120" w:beforeAutospacing="0" w:after="0" w:afterAutospacing="0"/>
        <w:textAlignment w:val="baseline"/>
        <w:rPr>
          <w:rFonts w:cs="Arial"/>
          <w:color w:val="000000" w:themeColor="text1"/>
          <w:sz w:val="22"/>
          <w:szCs w:val="22"/>
        </w:rPr>
      </w:pPr>
      <w:r w:rsidRPr="00E3099D">
        <w:rPr>
          <w:rFonts w:cs="Arial"/>
          <w:color w:val="000000" w:themeColor="text1"/>
          <w:sz w:val="22"/>
          <w:szCs w:val="22"/>
        </w:rPr>
        <w:t>Training includes:</w:t>
      </w:r>
    </w:p>
    <w:p w14:paraId="507FC70C" w14:textId="77777777" w:rsidR="00E3099D" w:rsidRDefault="00E3099D" w:rsidP="00E3099D">
      <w:pPr>
        <w:pStyle w:val="ListParagraph"/>
        <w:spacing w:before="0"/>
        <w:rPr>
          <w:rFonts w:cs="Arial"/>
          <w:szCs w:val="22"/>
        </w:rPr>
      </w:pPr>
      <w:r>
        <w:rPr>
          <w:rFonts w:cs="Arial"/>
          <w:szCs w:val="22"/>
        </w:rPr>
        <w:t xml:space="preserve">An overview of the </w:t>
      </w:r>
      <w:proofErr w:type="gramStart"/>
      <w:r>
        <w:rPr>
          <w:rFonts w:cs="Arial"/>
          <w:szCs w:val="22"/>
        </w:rPr>
        <w:t>AODA;</w:t>
      </w:r>
      <w:proofErr w:type="gramEnd"/>
    </w:p>
    <w:p w14:paraId="5103F325" w14:textId="77777777" w:rsidR="00E3099D" w:rsidRDefault="00E3099D" w:rsidP="00E3099D">
      <w:pPr>
        <w:pStyle w:val="ListParagraph"/>
        <w:numPr>
          <w:ilvl w:val="1"/>
          <w:numId w:val="29"/>
        </w:numPr>
        <w:spacing w:before="0"/>
        <w:rPr>
          <w:rFonts w:cs="Arial"/>
          <w:szCs w:val="22"/>
        </w:rPr>
      </w:pPr>
      <w:r>
        <w:rPr>
          <w:rFonts w:cs="Arial"/>
          <w:szCs w:val="22"/>
        </w:rPr>
        <w:t xml:space="preserve">The customer service standards set out in O. Reg. </w:t>
      </w:r>
      <w:proofErr w:type="gramStart"/>
      <w:r>
        <w:rPr>
          <w:rFonts w:cs="Arial"/>
          <w:szCs w:val="22"/>
        </w:rPr>
        <w:t>191/11;</w:t>
      </w:r>
      <w:proofErr w:type="gramEnd"/>
    </w:p>
    <w:p w14:paraId="1F93BFD7" w14:textId="77777777" w:rsidR="00E3099D" w:rsidRDefault="00E3099D" w:rsidP="00E3099D">
      <w:pPr>
        <w:pStyle w:val="ListParagraph"/>
        <w:numPr>
          <w:ilvl w:val="1"/>
          <w:numId w:val="29"/>
        </w:numPr>
        <w:spacing w:before="0"/>
        <w:rPr>
          <w:rFonts w:cs="Arial"/>
          <w:szCs w:val="22"/>
        </w:rPr>
      </w:pPr>
      <w:r>
        <w:rPr>
          <w:rFonts w:cs="Arial"/>
          <w:szCs w:val="22"/>
        </w:rPr>
        <w:t xml:space="preserve">How to interact and communicate with people with various types of </w:t>
      </w:r>
      <w:proofErr w:type="gramStart"/>
      <w:r>
        <w:rPr>
          <w:rFonts w:cs="Arial"/>
          <w:szCs w:val="22"/>
        </w:rPr>
        <w:t>disabilities;</w:t>
      </w:r>
      <w:proofErr w:type="gramEnd"/>
    </w:p>
    <w:p w14:paraId="02335614" w14:textId="77777777" w:rsidR="00E3099D" w:rsidRDefault="00E3099D" w:rsidP="00E3099D">
      <w:pPr>
        <w:pStyle w:val="ListParagraph"/>
        <w:numPr>
          <w:ilvl w:val="1"/>
          <w:numId w:val="29"/>
        </w:numPr>
        <w:spacing w:before="0"/>
        <w:rPr>
          <w:rFonts w:cs="Arial"/>
          <w:szCs w:val="22"/>
        </w:rPr>
      </w:pPr>
      <w:r>
        <w:rPr>
          <w:rFonts w:cs="Arial"/>
          <w:szCs w:val="22"/>
        </w:rPr>
        <w:t xml:space="preserve">How to interact with people with disabilities who use an assistive device or require the assistance of a service animal or a support </w:t>
      </w:r>
      <w:proofErr w:type="gramStart"/>
      <w:r>
        <w:rPr>
          <w:rFonts w:cs="Arial"/>
          <w:szCs w:val="22"/>
        </w:rPr>
        <w:t>person;</w:t>
      </w:r>
      <w:proofErr w:type="gramEnd"/>
    </w:p>
    <w:p w14:paraId="0679EEDF" w14:textId="29F7B56E" w:rsidR="00E3099D" w:rsidRDefault="00E3099D" w:rsidP="00E3099D">
      <w:pPr>
        <w:pStyle w:val="ListParagraph"/>
        <w:numPr>
          <w:ilvl w:val="1"/>
          <w:numId w:val="29"/>
        </w:numPr>
        <w:spacing w:before="0"/>
        <w:rPr>
          <w:rFonts w:cs="Arial"/>
          <w:szCs w:val="22"/>
        </w:rPr>
      </w:pPr>
      <w:r>
        <w:rPr>
          <w:rFonts w:cs="Arial"/>
          <w:szCs w:val="22"/>
        </w:rPr>
        <w:t>How to use any equipment or devices available at APH workplaces to assist with providing programs or services to persons with disabilities; and</w:t>
      </w:r>
    </w:p>
    <w:p w14:paraId="0ECD9DEF" w14:textId="5AB53310" w:rsidR="00E3099D" w:rsidRDefault="00E3099D" w:rsidP="00E3099D">
      <w:pPr>
        <w:pStyle w:val="ListParagraph"/>
        <w:numPr>
          <w:ilvl w:val="1"/>
          <w:numId w:val="29"/>
        </w:numPr>
        <w:spacing w:before="0"/>
        <w:rPr>
          <w:rFonts w:cs="Arial"/>
          <w:szCs w:val="22"/>
        </w:rPr>
      </w:pPr>
      <w:r>
        <w:rPr>
          <w:rFonts w:cs="Arial"/>
          <w:szCs w:val="22"/>
        </w:rPr>
        <w:t>What to do if a person with a disability is having difficulty accessing APH’s programs or services.</w:t>
      </w:r>
    </w:p>
    <w:p w14:paraId="4D333F46" w14:textId="182838F8" w:rsidR="00E3099D" w:rsidRPr="00E3099D" w:rsidRDefault="00E3099D" w:rsidP="00E3099D">
      <w:pPr>
        <w:pStyle w:val="NormalWeb"/>
        <w:numPr>
          <w:ilvl w:val="0"/>
          <w:numId w:val="27"/>
        </w:numPr>
        <w:spacing w:before="120" w:beforeAutospacing="0" w:after="0" w:afterAutospacing="0"/>
        <w:textAlignment w:val="baseline"/>
        <w:rPr>
          <w:rFonts w:cs="Arial"/>
          <w:color w:val="000000" w:themeColor="text1"/>
          <w:sz w:val="22"/>
          <w:szCs w:val="22"/>
        </w:rPr>
      </w:pPr>
      <w:r w:rsidRPr="00E3099D">
        <w:rPr>
          <w:rFonts w:cs="Arial"/>
          <w:color w:val="000000" w:themeColor="text1"/>
          <w:sz w:val="22"/>
          <w:szCs w:val="22"/>
        </w:rPr>
        <w:t>This training will be provided to all new employees during onboarding. Additional training will be provided to all employees in the event that changes are made to the policy. Training records will be kept as a record of who has been trained and when they were trained.</w:t>
      </w:r>
    </w:p>
    <w:p w14:paraId="3571F59D" w14:textId="209C96FD" w:rsidR="00F83972" w:rsidRPr="00F06369" w:rsidRDefault="00ED5B1B" w:rsidP="000308C3">
      <w:pPr>
        <w:pStyle w:val="StyleHeading3LatinArial11ptBoldCustomColorRGB777"/>
      </w:pPr>
      <w:r>
        <w:t>4.</w:t>
      </w:r>
      <w:r w:rsidR="00E0251D">
        <w:t>6</w:t>
      </w:r>
      <w:r>
        <w:tab/>
      </w:r>
      <w:r w:rsidR="00F83972" w:rsidRPr="00F06369">
        <w:t>Notice of Temporary Service Disruption</w:t>
      </w:r>
    </w:p>
    <w:p w14:paraId="68BC6446" w14:textId="3244E518" w:rsidR="00E3099D" w:rsidRPr="00E3099D" w:rsidRDefault="00E3099D" w:rsidP="00E3099D">
      <w:pPr>
        <w:pStyle w:val="ListParagraph"/>
        <w:numPr>
          <w:ilvl w:val="0"/>
          <w:numId w:val="27"/>
        </w:numPr>
        <w:rPr>
          <w:rFonts w:cs="Arial"/>
          <w:szCs w:val="22"/>
        </w:rPr>
      </w:pPr>
      <w:r w:rsidRPr="00E3099D">
        <w:rPr>
          <w:rFonts w:cs="Arial"/>
          <w:szCs w:val="22"/>
        </w:rPr>
        <w:t xml:space="preserve">In the event of a planned or unexpected disruption to services or facilities for clients with disabilities on any </w:t>
      </w:r>
      <w:r>
        <w:rPr>
          <w:rFonts w:cs="Arial"/>
          <w:szCs w:val="22"/>
        </w:rPr>
        <w:t>APH</w:t>
      </w:r>
      <w:r w:rsidRPr="00E3099D">
        <w:rPr>
          <w:rFonts w:cs="Arial"/>
          <w:szCs w:val="22"/>
        </w:rPr>
        <w:t xml:space="preserve"> premises, </w:t>
      </w:r>
      <w:r>
        <w:rPr>
          <w:rFonts w:cs="Arial"/>
          <w:szCs w:val="22"/>
        </w:rPr>
        <w:t>APH</w:t>
      </w:r>
      <w:r w:rsidRPr="00E3099D">
        <w:rPr>
          <w:rFonts w:cs="Arial"/>
          <w:szCs w:val="22"/>
        </w:rPr>
        <w:t xml:space="preserve"> will notify clients promptly. A clearly posted notice will include information about the reasons for the disruption, its anticipated length of time and a description of alternative facilities or services, if available. The notice will be posted in conspicuous places at the affected premise and/or by placing the notice on the website.</w:t>
      </w:r>
    </w:p>
    <w:p w14:paraId="1A74A564" w14:textId="2250D60C" w:rsidR="00F83972" w:rsidRDefault="00ED5B1B" w:rsidP="000308C3">
      <w:pPr>
        <w:pStyle w:val="StyleHeading3LatinArial11ptBoldCustomColorRGB777"/>
      </w:pPr>
      <w:r>
        <w:t>4.</w:t>
      </w:r>
      <w:r w:rsidR="00E0251D">
        <w:t>7</w:t>
      </w:r>
      <w:r>
        <w:tab/>
      </w:r>
      <w:r w:rsidR="00F83972" w:rsidRPr="00F06369">
        <w:t>Feedback</w:t>
      </w:r>
      <w:r w:rsidR="00832706">
        <w:t xml:space="preserve"> Process</w:t>
      </w:r>
    </w:p>
    <w:p w14:paraId="6FD08C7D" w14:textId="1C86D1A2" w:rsidR="00E3099D" w:rsidRDefault="00E3099D" w:rsidP="00E3099D">
      <w:pPr>
        <w:pStyle w:val="ListParagraph"/>
        <w:numPr>
          <w:ilvl w:val="0"/>
          <w:numId w:val="27"/>
        </w:numPr>
        <w:rPr>
          <w:rFonts w:cs="Arial"/>
          <w:szCs w:val="22"/>
        </w:rPr>
      </w:pPr>
      <w:r>
        <w:rPr>
          <w:rFonts w:cs="Arial"/>
          <w:szCs w:val="22"/>
        </w:rPr>
        <w:t>APH welcomes feedback on how our services are provided to people with disabilities. Feedback may be provided by:</w:t>
      </w:r>
    </w:p>
    <w:p w14:paraId="2EAA8016" w14:textId="1882485A" w:rsidR="00E3099D" w:rsidRPr="00E3099D" w:rsidRDefault="00E3099D" w:rsidP="00E3099D">
      <w:pPr>
        <w:pStyle w:val="ListParagraph"/>
        <w:numPr>
          <w:ilvl w:val="0"/>
          <w:numId w:val="31"/>
        </w:numPr>
        <w:shd w:val="clear" w:color="auto" w:fill="FFFFFF"/>
        <w:spacing w:before="0"/>
        <w:rPr>
          <w:rFonts w:cs="Arial"/>
          <w:szCs w:val="22"/>
        </w:rPr>
      </w:pPr>
      <w:r w:rsidRPr="00E3099D">
        <w:rPr>
          <w:rFonts w:cs="Arial"/>
          <w:szCs w:val="22"/>
        </w:rPr>
        <w:t xml:space="preserve">Submitting a Customer Feedback Form. This form is available in-person from the receptionist in each </w:t>
      </w:r>
      <w:r>
        <w:rPr>
          <w:rFonts w:cs="Arial"/>
          <w:szCs w:val="22"/>
        </w:rPr>
        <w:t>APH</w:t>
      </w:r>
      <w:r w:rsidRPr="00E3099D">
        <w:rPr>
          <w:rFonts w:cs="Arial"/>
          <w:szCs w:val="22"/>
        </w:rPr>
        <w:t xml:space="preserve"> office or online at </w:t>
      </w:r>
      <w:hyperlink r:id="rId21" w:history="1">
        <w:r w:rsidRPr="00C125D0">
          <w:rPr>
            <w:rStyle w:val="Hyperlink"/>
            <w:rFonts w:cs="Arial"/>
            <w:szCs w:val="22"/>
          </w:rPr>
          <w:t>www.algomapublichealth.com</w:t>
        </w:r>
      </w:hyperlink>
      <w:r w:rsidRPr="00C125D0">
        <w:rPr>
          <w:rFonts w:cs="Arial"/>
          <w:szCs w:val="22"/>
        </w:rPr>
        <w:t>;</w:t>
      </w:r>
      <w:r w:rsidRPr="00E3099D">
        <w:rPr>
          <w:rFonts w:cs="Arial"/>
          <w:szCs w:val="22"/>
        </w:rPr>
        <w:t xml:space="preserve"> </w:t>
      </w:r>
    </w:p>
    <w:p w14:paraId="5E009C64" w14:textId="44967271" w:rsidR="00E3099D" w:rsidRPr="00E3099D" w:rsidRDefault="00E3099D" w:rsidP="00E3099D">
      <w:pPr>
        <w:pStyle w:val="ListParagraph"/>
        <w:numPr>
          <w:ilvl w:val="0"/>
          <w:numId w:val="31"/>
        </w:numPr>
        <w:shd w:val="clear" w:color="auto" w:fill="FFFFFF"/>
        <w:spacing w:before="0"/>
        <w:rPr>
          <w:rFonts w:cs="Arial"/>
          <w:szCs w:val="22"/>
        </w:rPr>
      </w:pPr>
      <w:r w:rsidRPr="00E3099D">
        <w:rPr>
          <w:rFonts w:cs="Arial"/>
          <w:szCs w:val="22"/>
        </w:rPr>
        <w:t xml:space="preserve">Calling </w:t>
      </w:r>
      <w:r>
        <w:rPr>
          <w:rFonts w:cs="Arial"/>
          <w:szCs w:val="22"/>
        </w:rPr>
        <w:t>APH</w:t>
      </w:r>
      <w:r w:rsidRPr="00E3099D">
        <w:rPr>
          <w:rFonts w:cs="Arial"/>
          <w:szCs w:val="22"/>
        </w:rPr>
        <w:t xml:space="preserve"> at (</w:t>
      </w:r>
      <w:r>
        <w:rPr>
          <w:rFonts w:cs="Arial"/>
          <w:szCs w:val="22"/>
        </w:rPr>
        <w:t>705</w:t>
      </w:r>
      <w:r w:rsidRPr="00E3099D">
        <w:rPr>
          <w:rFonts w:cs="Arial"/>
          <w:szCs w:val="22"/>
        </w:rPr>
        <w:t xml:space="preserve">) </w:t>
      </w:r>
      <w:r>
        <w:rPr>
          <w:rFonts w:cs="Arial"/>
          <w:szCs w:val="22"/>
        </w:rPr>
        <w:t>942</w:t>
      </w:r>
      <w:r w:rsidRPr="00E3099D">
        <w:rPr>
          <w:rFonts w:cs="Arial"/>
          <w:szCs w:val="22"/>
        </w:rPr>
        <w:t>-</w:t>
      </w:r>
      <w:r>
        <w:rPr>
          <w:rFonts w:cs="Arial"/>
          <w:szCs w:val="22"/>
        </w:rPr>
        <w:t>4646</w:t>
      </w:r>
      <w:r w:rsidRPr="00E3099D">
        <w:rPr>
          <w:rFonts w:cs="Arial"/>
          <w:szCs w:val="22"/>
        </w:rPr>
        <w:t>; or</w:t>
      </w:r>
    </w:p>
    <w:p w14:paraId="53F3E71E" w14:textId="0FC0F411" w:rsidR="00E3099D" w:rsidRPr="009B569A" w:rsidRDefault="00E3099D" w:rsidP="009B569A">
      <w:pPr>
        <w:pStyle w:val="ListParagraph"/>
        <w:numPr>
          <w:ilvl w:val="0"/>
          <w:numId w:val="31"/>
        </w:numPr>
        <w:shd w:val="clear" w:color="auto" w:fill="FFFFFF"/>
        <w:spacing w:before="0"/>
        <w:rPr>
          <w:rFonts w:cs="Arial"/>
          <w:szCs w:val="22"/>
        </w:rPr>
      </w:pPr>
      <w:r w:rsidRPr="00E3099D">
        <w:rPr>
          <w:rFonts w:cs="Arial"/>
          <w:szCs w:val="22"/>
        </w:rPr>
        <w:t xml:space="preserve">E-mailing </w:t>
      </w:r>
      <w:hyperlink r:id="rId22" w:history="1">
        <w:r w:rsidRPr="00E14DA5">
          <w:rPr>
            <w:rStyle w:val="Hyperlink"/>
            <w:rFonts w:cs="Arial"/>
            <w:szCs w:val="22"/>
          </w:rPr>
          <w:t>hr@algomapublichealth.com</w:t>
        </w:r>
      </w:hyperlink>
      <w:r>
        <w:t>.</w:t>
      </w:r>
    </w:p>
    <w:p w14:paraId="07327E2E" w14:textId="388139B8" w:rsidR="00E3099D" w:rsidRPr="00E3099D" w:rsidRDefault="00E3099D" w:rsidP="009B569A">
      <w:pPr>
        <w:pStyle w:val="ListParagraph"/>
        <w:numPr>
          <w:ilvl w:val="0"/>
          <w:numId w:val="27"/>
        </w:numPr>
        <w:contextualSpacing w:val="0"/>
        <w:rPr>
          <w:rFonts w:cs="Arial"/>
          <w:szCs w:val="22"/>
        </w:rPr>
      </w:pPr>
      <w:r w:rsidRPr="00E3099D">
        <w:rPr>
          <w:rFonts w:cs="Arial"/>
          <w:szCs w:val="22"/>
        </w:rPr>
        <w:t>All feedback, including complaints, will be handed by Human Resources. A written response will be provided within 10 business days.</w:t>
      </w:r>
    </w:p>
    <w:p w14:paraId="5B007432" w14:textId="3B7688E4" w:rsidR="00746150" w:rsidRPr="00746150" w:rsidRDefault="00746150" w:rsidP="000308C3">
      <w:pPr>
        <w:pStyle w:val="StyleHeading3LatinArial11ptBoldCustomColorRGB777"/>
      </w:pPr>
      <w:r w:rsidRPr="00746150">
        <w:t>Complian</w:t>
      </w:r>
      <w:r>
        <w:t>c</w:t>
      </w:r>
      <w:r w:rsidRPr="00746150">
        <w:t>e</w:t>
      </w:r>
    </w:p>
    <w:p w14:paraId="26A5273A" w14:textId="0E76DD31" w:rsidR="00746150" w:rsidRDefault="00746150" w:rsidP="00D845AC">
      <w:pPr>
        <w:pStyle w:val="NormalWeb"/>
        <w:numPr>
          <w:ilvl w:val="0"/>
          <w:numId w:val="27"/>
        </w:numPr>
        <w:spacing w:before="120" w:beforeAutospacing="0" w:after="0" w:afterAutospacing="0"/>
        <w:textAlignment w:val="baseline"/>
        <w:rPr>
          <w:rFonts w:cs="Arial"/>
          <w:color w:val="000000" w:themeColor="text1"/>
          <w:sz w:val="22"/>
          <w:szCs w:val="22"/>
        </w:rPr>
      </w:pPr>
      <w:r>
        <w:rPr>
          <w:rFonts w:cs="Arial"/>
          <w:color w:val="000000" w:themeColor="text1"/>
          <w:sz w:val="22"/>
          <w:szCs w:val="22"/>
        </w:rPr>
        <w:t xml:space="preserve">APH ensures the completion of compliance reporting and meeting the compliance deadlines </w:t>
      </w:r>
      <w:r w:rsidRPr="00746150">
        <w:rPr>
          <w:rFonts w:cs="Arial"/>
          <w:color w:val="000000" w:themeColor="text1"/>
          <w:sz w:val="22"/>
          <w:szCs w:val="22"/>
        </w:rPr>
        <w:t>as outlined in the Ontario Regulation 191/11 Integrated Accessibility Standard.</w:t>
      </w:r>
    </w:p>
    <w:sectPr w:rsidR="00746150" w:rsidSect="009B569A">
      <w:headerReference w:type="default" r:id="rId23"/>
      <w:footerReference w:type="first" r:id="rId24"/>
      <w:pgSz w:w="12240" w:h="15840" w:code="1"/>
      <w:pgMar w:top="720" w:right="720" w:bottom="720" w:left="720" w:header="432" w:footer="432"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FB74" w14:textId="77777777" w:rsidR="005C4246" w:rsidRDefault="005C4246">
      <w:r>
        <w:separator/>
      </w:r>
    </w:p>
  </w:endnote>
  <w:endnote w:type="continuationSeparator" w:id="0">
    <w:p w14:paraId="3DF75570" w14:textId="77777777" w:rsidR="005C4246" w:rsidRDefault="005C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hitney Condense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90"/>
      <w:gridCol w:w="6300"/>
      <w:gridCol w:w="1890"/>
      <w:gridCol w:w="1350"/>
    </w:tblGrid>
    <w:tr w:rsidR="00E0251D" w14:paraId="4E361325" w14:textId="77777777" w:rsidTr="00A90060">
      <w:trPr>
        <w:cantSplit/>
      </w:trPr>
      <w:tc>
        <w:tcPr>
          <w:tcW w:w="990" w:type="dxa"/>
        </w:tcPr>
        <w:p w14:paraId="25476930" w14:textId="77777777" w:rsidR="00E0251D" w:rsidRDefault="00E0251D" w:rsidP="00E0251D">
          <w:pPr>
            <w:pStyle w:val="Header"/>
            <w:rPr>
              <w:b/>
            </w:rPr>
          </w:pPr>
          <w:r>
            <w:rPr>
              <w:b/>
            </w:rPr>
            <w:t>PAGE:</w:t>
          </w:r>
        </w:p>
      </w:tc>
      <w:tc>
        <w:tcPr>
          <w:tcW w:w="6300" w:type="dxa"/>
        </w:tcPr>
        <w:p w14:paraId="3F9B29AF" w14:textId="77777777" w:rsidR="00E0251D" w:rsidRDefault="00E0251D" w:rsidP="00E0251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2</w:t>
          </w:r>
        </w:p>
      </w:tc>
      <w:tc>
        <w:tcPr>
          <w:tcW w:w="1890" w:type="dxa"/>
        </w:tcPr>
        <w:p w14:paraId="3E9AF0D9" w14:textId="77777777" w:rsidR="00E0251D" w:rsidRDefault="00E0251D" w:rsidP="00E0251D">
          <w:pPr>
            <w:pStyle w:val="Header"/>
            <w:rPr>
              <w:b/>
            </w:rPr>
          </w:pPr>
          <w:r>
            <w:rPr>
              <w:b/>
            </w:rPr>
            <w:t>REFERENCE #:</w:t>
          </w:r>
        </w:p>
      </w:tc>
      <w:tc>
        <w:tcPr>
          <w:tcW w:w="1350" w:type="dxa"/>
        </w:tcPr>
        <w:p w14:paraId="5916793E" w14:textId="77777777" w:rsidR="00E0251D" w:rsidRDefault="00E0251D" w:rsidP="00E0251D">
          <w:pPr>
            <w:pStyle w:val="Header"/>
          </w:pPr>
          <w:r>
            <w:t>01-04-004</w:t>
          </w:r>
        </w:p>
      </w:tc>
    </w:tr>
  </w:tbl>
  <w:p w14:paraId="72E03784" w14:textId="485FFA49" w:rsidR="00E17D24" w:rsidRDefault="00E17D24" w:rsidP="00E0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3465" w14:textId="77777777" w:rsidR="005C4246" w:rsidRDefault="005C4246">
      <w:r>
        <w:separator/>
      </w:r>
    </w:p>
  </w:footnote>
  <w:footnote w:type="continuationSeparator" w:id="0">
    <w:p w14:paraId="1AA28075" w14:textId="77777777" w:rsidR="005C4246" w:rsidRDefault="005C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90"/>
      <w:gridCol w:w="6300"/>
      <w:gridCol w:w="1890"/>
      <w:gridCol w:w="1350"/>
    </w:tblGrid>
    <w:tr w:rsidR="00FA0A9A" w14:paraId="7D5B271F" w14:textId="77777777">
      <w:trPr>
        <w:cantSplit/>
      </w:trPr>
      <w:tc>
        <w:tcPr>
          <w:tcW w:w="990" w:type="dxa"/>
        </w:tcPr>
        <w:p w14:paraId="1C05C560" w14:textId="77777777" w:rsidR="00FA0A9A" w:rsidRDefault="00FA0A9A">
          <w:pPr>
            <w:pStyle w:val="Header"/>
            <w:rPr>
              <w:b/>
            </w:rPr>
          </w:pPr>
          <w:r>
            <w:rPr>
              <w:b/>
            </w:rPr>
            <w:t>PAGE:</w:t>
          </w:r>
        </w:p>
      </w:tc>
      <w:tc>
        <w:tcPr>
          <w:tcW w:w="6300" w:type="dxa"/>
        </w:tcPr>
        <w:p w14:paraId="2471C181" w14:textId="72FF8FAD" w:rsidR="00FA0A9A" w:rsidRPr="00BB2DA3" w:rsidRDefault="00BB2DA3">
          <w:pPr>
            <w:pStyle w:val="Header"/>
          </w:pPr>
          <w:r w:rsidRPr="00BB2DA3">
            <w:rPr>
              <w:rStyle w:val="PageNumber"/>
            </w:rPr>
            <w:fldChar w:fldCharType="begin"/>
          </w:r>
          <w:r w:rsidRPr="00BB2DA3">
            <w:rPr>
              <w:rStyle w:val="PageNumber"/>
            </w:rPr>
            <w:instrText xml:space="preserve"> PAGE  \* Arabic  \* MERGEFORMAT </w:instrText>
          </w:r>
          <w:r w:rsidRPr="00BB2DA3">
            <w:rPr>
              <w:rStyle w:val="PageNumber"/>
            </w:rPr>
            <w:fldChar w:fldCharType="separate"/>
          </w:r>
          <w:r w:rsidRPr="00BB2DA3">
            <w:rPr>
              <w:rStyle w:val="PageNumber"/>
              <w:noProof/>
            </w:rPr>
            <w:t>1</w:t>
          </w:r>
          <w:r w:rsidRPr="00BB2DA3">
            <w:rPr>
              <w:rStyle w:val="PageNumber"/>
            </w:rPr>
            <w:fldChar w:fldCharType="end"/>
          </w:r>
          <w:r w:rsidRPr="00BB2DA3">
            <w:rPr>
              <w:rStyle w:val="PageNumber"/>
            </w:rPr>
            <w:t xml:space="preserve"> of </w:t>
          </w:r>
          <w:r w:rsidRPr="00BB2DA3">
            <w:rPr>
              <w:rStyle w:val="PageNumber"/>
            </w:rPr>
            <w:fldChar w:fldCharType="begin"/>
          </w:r>
          <w:r w:rsidRPr="00BB2DA3">
            <w:rPr>
              <w:rStyle w:val="PageNumber"/>
            </w:rPr>
            <w:instrText xml:space="preserve"> NUMPAGES  \* Arabic  \* MERGEFORMAT </w:instrText>
          </w:r>
          <w:r w:rsidRPr="00BB2DA3">
            <w:rPr>
              <w:rStyle w:val="PageNumber"/>
            </w:rPr>
            <w:fldChar w:fldCharType="separate"/>
          </w:r>
          <w:r w:rsidRPr="00BB2DA3">
            <w:rPr>
              <w:rStyle w:val="PageNumber"/>
              <w:noProof/>
            </w:rPr>
            <w:t>2</w:t>
          </w:r>
          <w:r w:rsidRPr="00BB2DA3">
            <w:rPr>
              <w:rStyle w:val="PageNumber"/>
            </w:rPr>
            <w:fldChar w:fldCharType="end"/>
          </w:r>
        </w:p>
      </w:tc>
      <w:tc>
        <w:tcPr>
          <w:tcW w:w="1890" w:type="dxa"/>
        </w:tcPr>
        <w:p w14:paraId="3B192C3C" w14:textId="77777777" w:rsidR="00FA0A9A" w:rsidRDefault="00FA0A9A">
          <w:pPr>
            <w:pStyle w:val="Header"/>
            <w:rPr>
              <w:b/>
            </w:rPr>
          </w:pPr>
          <w:r>
            <w:rPr>
              <w:b/>
            </w:rPr>
            <w:t>REFERENCE #:</w:t>
          </w:r>
        </w:p>
      </w:tc>
      <w:tc>
        <w:tcPr>
          <w:tcW w:w="1350" w:type="dxa"/>
        </w:tcPr>
        <w:p w14:paraId="4FC2C061" w14:textId="77777777" w:rsidR="00FA0A9A" w:rsidRDefault="00680984">
          <w:pPr>
            <w:pStyle w:val="Header"/>
          </w:pPr>
          <w:r>
            <w:t>01-04-004</w:t>
          </w:r>
        </w:p>
      </w:tc>
    </w:tr>
  </w:tbl>
  <w:p w14:paraId="2CF8C0F5" w14:textId="77777777" w:rsidR="00FA0A9A" w:rsidRDefault="00FA0A9A" w:rsidP="00BB2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6926"/>
    <w:multiLevelType w:val="hybridMultilevel"/>
    <w:tmpl w:val="DE5ACF62"/>
    <w:lvl w:ilvl="0" w:tplc="FF749DA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A5985"/>
    <w:multiLevelType w:val="multilevel"/>
    <w:tmpl w:val="2B14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62951"/>
    <w:multiLevelType w:val="multilevel"/>
    <w:tmpl w:val="BA7E2558"/>
    <w:lvl w:ilvl="0">
      <w:start w:val="1"/>
      <w:numFmt w:val="decimal"/>
      <w:lvlText w:val="%11.1"/>
      <w:lvlJc w:val="left"/>
      <w:pPr>
        <w:ind w:left="360" w:hanging="360"/>
      </w:pPr>
      <w:rPr>
        <w:rFonts w:hint="default"/>
      </w:rPr>
    </w:lvl>
    <w:lvl w:ilvl="1">
      <w:start w:val="1"/>
      <w:numFmt w:val="decimal"/>
      <w:lvlText w:val="%1.%2"/>
      <w:lvlJc w:val="left"/>
      <w:pPr>
        <w:ind w:left="29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DE77AA"/>
    <w:multiLevelType w:val="multilevel"/>
    <w:tmpl w:val="A7B0BFFE"/>
    <w:lvl w:ilvl="0">
      <w:start w:val="1"/>
      <w:numFmt w:val="lowerRoman"/>
      <w:lvlText w:val="%1)"/>
      <w:lvlJc w:val="left"/>
      <w:pPr>
        <w:tabs>
          <w:tab w:val="num" w:pos="1710"/>
        </w:tabs>
        <w:ind w:left="1710" w:hanging="720"/>
      </w:pPr>
      <w:rPr>
        <w:rFonts w:hint="default"/>
      </w:rPr>
    </w:lvl>
    <w:lvl w:ilvl="1">
      <w:start w:val="1"/>
      <w:numFmt w:val="lowerLetter"/>
      <w:lvlText w:val="%2."/>
      <w:lvlJc w:val="left"/>
      <w:pPr>
        <w:tabs>
          <w:tab w:val="num" w:pos="2070"/>
        </w:tabs>
        <w:ind w:left="2070" w:hanging="360"/>
      </w:pPr>
    </w:lvl>
    <w:lvl w:ilvl="2">
      <w:start w:val="1"/>
      <w:numFmt w:val="lowerRoman"/>
      <w:lvlText w:val="(%3)"/>
      <w:lvlJc w:val="left"/>
      <w:pPr>
        <w:ind w:left="3330" w:hanging="720"/>
      </w:pPr>
      <w:rPr>
        <w:rFonts w:hint="default"/>
      </w:r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4" w15:restartNumberingAfterBreak="0">
    <w:nsid w:val="231D5B75"/>
    <w:multiLevelType w:val="hybridMultilevel"/>
    <w:tmpl w:val="CA9414B8"/>
    <w:lvl w:ilvl="0" w:tplc="3DB269EA">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0C024A"/>
    <w:multiLevelType w:val="hybridMultilevel"/>
    <w:tmpl w:val="0014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D4005"/>
    <w:multiLevelType w:val="multilevel"/>
    <w:tmpl w:val="2702E6D6"/>
    <w:lvl w:ilvl="0">
      <w:start w:val="1"/>
      <w:numFmt w:val="decimal"/>
      <w:lvlText w:val="%1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A0366B"/>
    <w:multiLevelType w:val="multilevel"/>
    <w:tmpl w:val="98A6B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776783"/>
    <w:multiLevelType w:val="multilevel"/>
    <w:tmpl w:val="648CBAEA"/>
    <w:lvl w:ilvl="0">
      <w:start w:val="1"/>
      <w:numFmt w:val="decimal"/>
      <w:lvlText w:val="%1.0"/>
      <w:lvlJc w:val="left"/>
      <w:pPr>
        <w:ind w:left="72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37A91C87"/>
    <w:multiLevelType w:val="hybridMultilevel"/>
    <w:tmpl w:val="5784E77E"/>
    <w:lvl w:ilvl="0" w:tplc="66A8D44E">
      <w:start w:val="1"/>
      <w:numFmt w:val="decimal"/>
      <w:lvlText w:val="%1."/>
      <w:lvlJc w:val="left"/>
      <w:pPr>
        <w:ind w:left="720" w:hanging="360"/>
      </w:pPr>
    </w:lvl>
    <w:lvl w:ilvl="1" w:tplc="71FA08E2">
      <w:start w:val="1"/>
      <w:numFmt w:val="lowerLetter"/>
      <w:lvlText w:val="%2."/>
      <w:lvlJc w:val="left"/>
      <w:pPr>
        <w:ind w:left="1440" w:hanging="360"/>
      </w:pPr>
    </w:lvl>
    <w:lvl w:ilvl="2" w:tplc="1C5658EE">
      <w:start w:val="1"/>
      <w:numFmt w:val="lowerRoman"/>
      <w:lvlText w:val="%3."/>
      <w:lvlJc w:val="right"/>
      <w:pPr>
        <w:ind w:left="2160" w:hanging="180"/>
      </w:pPr>
    </w:lvl>
    <w:lvl w:ilvl="3" w:tplc="14488D12">
      <w:start w:val="1"/>
      <w:numFmt w:val="decimal"/>
      <w:lvlText w:val="%4."/>
      <w:lvlJc w:val="left"/>
      <w:pPr>
        <w:ind w:left="2880" w:hanging="360"/>
      </w:pPr>
    </w:lvl>
    <w:lvl w:ilvl="4" w:tplc="6236052C">
      <w:start w:val="1"/>
      <w:numFmt w:val="lowerLetter"/>
      <w:lvlText w:val="%5."/>
      <w:lvlJc w:val="left"/>
      <w:pPr>
        <w:ind w:left="3600" w:hanging="360"/>
      </w:pPr>
    </w:lvl>
    <w:lvl w:ilvl="5" w:tplc="D69E1D1C">
      <w:start w:val="1"/>
      <w:numFmt w:val="lowerRoman"/>
      <w:lvlText w:val="%6."/>
      <w:lvlJc w:val="right"/>
      <w:pPr>
        <w:ind w:left="4320" w:hanging="180"/>
      </w:pPr>
    </w:lvl>
    <w:lvl w:ilvl="6" w:tplc="0AC8F1D0">
      <w:start w:val="1"/>
      <w:numFmt w:val="decimal"/>
      <w:lvlText w:val="%7."/>
      <w:lvlJc w:val="left"/>
      <w:pPr>
        <w:ind w:left="5040" w:hanging="360"/>
      </w:pPr>
    </w:lvl>
    <w:lvl w:ilvl="7" w:tplc="747E7890">
      <w:start w:val="1"/>
      <w:numFmt w:val="lowerLetter"/>
      <w:lvlText w:val="%8."/>
      <w:lvlJc w:val="left"/>
      <w:pPr>
        <w:ind w:left="5760" w:hanging="360"/>
      </w:pPr>
    </w:lvl>
    <w:lvl w:ilvl="8" w:tplc="AB264F66">
      <w:start w:val="1"/>
      <w:numFmt w:val="lowerRoman"/>
      <w:lvlText w:val="%9."/>
      <w:lvlJc w:val="right"/>
      <w:pPr>
        <w:ind w:left="6480" w:hanging="180"/>
      </w:pPr>
    </w:lvl>
  </w:abstractNum>
  <w:abstractNum w:abstractNumId="10" w15:restartNumberingAfterBreak="0">
    <w:nsid w:val="3AE1074D"/>
    <w:multiLevelType w:val="multilevel"/>
    <w:tmpl w:val="C7DA77FE"/>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0579EE"/>
    <w:multiLevelType w:val="hybridMultilevel"/>
    <w:tmpl w:val="E1D2F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CF6A01"/>
    <w:multiLevelType w:val="multilevel"/>
    <w:tmpl w:val="A7B0BFF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E252873"/>
    <w:multiLevelType w:val="hybridMultilevel"/>
    <w:tmpl w:val="D9564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D7BAB"/>
    <w:multiLevelType w:val="multilevel"/>
    <w:tmpl w:val="6274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1D0744"/>
    <w:multiLevelType w:val="hybridMultilevel"/>
    <w:tmpl w:val="E5521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AA0282"/>
    <w:multiLevelType w:val="hybridMultilevel"/>
    <w:tmpl w:val="B8E25A6C"/>
    <w:lvl w:ilvl="0" w:tplc="3DB269EA">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9767CC"/>
    <w:multiLevelType w:val="multilevel"/>
    <w:tmpl w:val="70D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A7881"/>
    <w:multiLevelType w:val="hybridMultilevel"/>
    <w:tmpl w:val="71006BDE"/>
    <w:lvl w:ilvl="0" w:tplc="6802A820">
      <w:start w:val="1"/>
      <w:numFmt w:val="bullet"/>
      <w:lvlText w:val=""/>
      <w:lvlJc w:val="left"/>
      <w:pPr>
        <w:ind w:left="720" w:hanging="360"/>
      </w:pPr>
      <w:rPr>
        <w:rFonts w:ascii="Symbol" w:hAnsi="Symbol" w:hint="default"/>
      </w:rPr>
    </w:lvl>
    <w:lvl w:ilvl="1" w:tplc="4AFC3676">
      <w:start w:val="1"/>
      <w:numFmt w:val="bullet"/>
      <w:lvlText w:val="o"/>
      <w:lvlJc w:val="left"/>
      <w:pPr>
        <w:ind w:left="1440" w:hanging="360"/>
      </w:pPr>
      <w:rPr>
        <w:rFonts w:ascii="Courier New" w:hAnsi="Courier New" w:cs="Courier New" w:hint="default"/>
      </w:rPr>
    </w:lvl>
    <w:lvl w:ilvl="2" w:tplc="9C5E2DB6">
      <w:start w:val="1"/>
      <w:numFmt w:val="bullet"/>
      <w:lvlText w:val=""/>
      <w:lvlJc w:val="left"/>
      <w:pPr>
        <w:ind w:left="2160" w:hanging="360"/>
      </w:pPr>
      <w:rPr>
        <w:rFonts w:ascii="Wingdings" w:hAnsi="Wingdings" w:hint="default"/>
      </w:rPr>
    </w:lvl>
    <w:lvl w:ilvl="3" w:tplc="1E0E5110">
      <w:start w:val="1"/>
      <w:numFmt w:val="bullet"/>
      <w:lvlText w:val=""/>
      <w:lvlJc w:val="left"/>
      <w:pPr>
        <w:ind w:left="2880" w:hanging="360"/>
      </w:pPr>
      <w:rPr>
        <w:rFonts w:ascii="Symbol" w:hAnsi="Symbol" w:hint="default"/>
      </w:rPr>
    </w:lvl>
    <w:lvl w:ilvl="4" w:tplc="580ADC44">
      <w:start w:val="1"/>
      <w:numFmt w:val="bullet"/>
      <w:lvlText w:val="o"/>
      <w:lvlJc w:val="left"/>
      <w:pPr>
        <w:ind w:left="3600" w:hanging="360"/>
      </w:pPr>
      <w:rPr>
        <w:rFonts w:ascii="Courier New" w:hAnsi="Courier New" w:cs="Courier New" w:hint="default"/>
      </w:rPr>
    </w:lvl>
    <w:lvl w:ilvl="5" w:tplc="9A9249FC">
      <w:start w:val="1"/>
      <w:numFmt w:val="bullet"/>
      <w:lvlText w:val=""/>
      <w:lvlJc w:val="left"/>
      <w:pPr>
        <w:ind w:left="4320" w:hanging="360"/>
      </w:pPr>
      <w:rPr>
        <w:rFonts w:ascii="Wingdings" w:hAnsi="Wingdings" w:hint="default"/>
      </w:rPr>
    </w:lvl>
    <w:lvl w:ilvl="6" w:tplc="D7BE317E">
      <w:start w:val="1"/>
      <w:numFmt w:val="bullet"/>
      <w:lvlText w:val=""/>
      <w:lvlJc w:val="left"/>
      <w:pPr>
        <w:ind w:left="5040" w:hanging="360"/>
      </w:pPr>
      <w:rPr>
        <w:rFonts w:ascii="Symbol" w:hAnsi="Symbol" w:hint="default"/>
      </w:rPr>
    </w:lvl>
    <w:lvl w:ilvl="7" w:tplc="3E0265F4">
      <w:start w:val="1"/>
      <w:numFmt w:val="bullet"/>
      <w:lvlText w:val="o"/>
      <w:lvlJc w:val="left"/>
      <w:pPr>
        <w:ind w:left="5760" w:hanging="360"/>
      </w:pPr>
      <w:rPr>
        <w:rFonts w:ascii="Courier New" w:hAnsi="Courier New" w:cs="Courier New" w:hint="default"/>
      </w:rPr>
    </w:lvl>
    <w:lvl w:ilvl="8" w:tplc="E22A200C">
      <w:start w:val="1"/>
      <w:numFmt w:val="bullet"/>
      <w:lvlText w:val=""/>
      <w:lvlJc w:val="left"/>
      <w:pPr>
        <w:ind w:left="6480" w:hanging="360"/>
      </w:pPr>
      <w:rPr>
        <w:rFonts w:ascii="Wingdings" w:hAnsi="Wingdings" w:hint="default"/>
      </w:rPr>
    </w:lvl>
  </w:abstractNum>
  <w:abstractNum w:abstractNumId="19" w15:restartNumberingAfterBreak="0">
    <w:nsid w:val="75EA5BD1"/>
    <w:multiLevelType w:val="hybridMultilevel"/>
    <w:tmpl w:val="003E846A"/>
    <w:lvl w:ilvl="0" w:tplc="62F6EBCC">
      <w:start w:val="1"/>
      <w:numFmt w:val="decimal"/>
      <w:lvlText w:val="%1.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5597561">
    <w:abstractNumId w:val="13"/>
  </w:num>
  <w:num w:numId="2" w16cid:durableId="1445424078">
    <w:abstractNumId w:val="17"/>
  </w:num>
  <w:num w:numId="3" w16cid:durableId="1412461735">
    <w:abstractNumId w:val="14"/>
  </w:num>
  <w:num w:numId="4" w16cid:durableId="137184652">
    <w:abstractNumId w:val="1"/>
  </w:num>
  <w:num w:numId="5" w16cid:durableId="855342445">
    <w:abstractNumId w:val="3"/>
  </w:num>
  <w:num w:numId="6" w16cid:durableId="364449860">
    <w:abstractNumId w:val="8"/>
  </w:num>
  <w:num w:numId="7" w16cid:durableId="1636717374">
    <w:abstractNumId w:val="11"/>
  </w:num>
  <w:num w:numId="8" w16cid:durableId="2071537184">
    <w:abstractNumId w:val="12"/>
  </w:num>
  <w:num w:numId="9" w16cid:durableId="1027605720">
    <w:abstractNumId w:val="8"/>
  </w:num>
  <w:num w:numId="10" w16cid:durableId="1624266934">
    <w:abstractNumId w:val="8"/>
  </w:num>
  <w:num w:numId="11" w16cid:durableId="1210334936">
    <w:abstractNumId w:val="8"/>
  </w:num>
  <w:num w:numId="12" w16cid:durableId="813568242">
    <w:abstractNumId w:val="8"/>
  </w:num>
  <w:num w:numId="13" w16cid:durableId="705914838">
    <w:abstractNumId w:val="8"/>
  </w:num>
  <w:num w:numId="14" w16cid:durableId="508250483">
    <w:abstractNumId w:val="8"/>
  </w:num>
  <w:num w:numId="15" w16cid:durableId="1309171703">
    <w:abstractNumId w:val="16"/>
  </w:num>
  <w:num w:numId="16" w16cid:durableId="246037165">
    <w:abstractNumId w:val="8"/>
  </w:num>
  <w:num w:numId="17" w16cid:durableId="1522360029">
    <w:abstractNumId w:val="8"/>
  </w:num>
  <w:num w:numId="18" w16cid:durableId="1720013192">
    <w:abstractNumId w:val="0"/>
  </w:num>
  <w:num w:numId="19" w16cid:durableId="1886721519">
    <w:abstractNumId w:val="4"/>
  </w:num>
  <w:num w:numId="20" w16cid:durableId="1531263638">
    <w:abstractNumId w:val="10"/>
  </w:num>
  <w:num w:numId="21" w16cid:durableId="15427166">
    <w:abstractNumId w:val="19"/>
  </w:num>
  <w:num w:numId="22" w16cid:durableId="1016813198">
    <w:abstractNumId w:val="19"/>
  </w:num>
  <w:num w:numId="23" w16cid:durableId="435294310">
    <w:abstractNumId w:val="19"/>
    <w:lvlOverride w:ilvl="0">
      <w:startOverride w:val="1"/>
    </w:lvlOverride>
  </w:num>
  <w:num w:numId="24" w16cid:durableId="1552038996">
    <w:abstractNumId w:val="7"/>
  </w:num>
  <w:num w:numId="25" w16cid:durableId="1056511767">
    <w:abstractNumId w:val="2"/>
  </w:num>
  <w:num w:numId="26" w16cid:durableId="1094014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9253351">
    <w:abstractNumId w:val="5"/>
  </w:num>
  <w:num w:numId="28" w16cid:durableId="423192697">
    <w:abstractNumId w:val="6"/>
  </w:num>
  <w:num w:numId="29" w16cid:durableId="1933204370">
    <w:abstractNumId w:val="18"/>
  </w:num>
  <w:num w:numId="30" w16cid:durableId="1749186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819273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wNDYwNjUyNzE1NjJU0lEKTi0uzszPAykwrgUAf/NDaiwAAAA="/>
  </w:docVars>
  <w:rsids>
    <w:rsidRoot w:val="0012305D"/>
    <w:rsid w:val="000305C9"/>
    <w:rsid w:val="000308C3"/>
    <w:rsid w:val="000327FC"/>
    <w:rsid w:val="00042265"/>
    <w:rsid w:val="0005634C"/>
    <w:rsid w:val="00063A5C"/>
    <w:rsid w:val="0007408C"/>
    <w:rsid w:val="00084B8F"/>
    <w:rsid w:val="000A1010"/>
    <w:rsid w:val="000A1B01"/>
    <w:rsid w:val="000B0674"/>
    <w:rsid w:val="000F3AB2"/>
    <w:rsid w:val="001024F0"/>
    <w:rsid w:val="001135B7"/>
    <w:rsid w:val="0012305D"/>
    <w:rsid w:val="00131D2E"/>
    <w:rsid w:val="001531D6"/>
    <w:rsid w:val="00163F26"/>
    <w:rsid w:val="00172DEA"/>
    <w:rsid w:val="001742B7"/>
    <w:rsid w:val="001759B0"/>
    <w:rsid w:val="0018414C"/>
    <w:rsid w:val="001875C9"/>
    <w:rsid w:val="001A0C37"/>
    <w:rsid w:val="001A2FF8"/>
    <w:rsid w:val="001A48E6"/>
    <w:rsid w:val="001C1F13"/>
    <w:rsid w:val="00201BAB"/>
    <w:rsid w:val="002045C1"/>
    <w:rsid w:val="00205519"/>
    <w:rsid w:val="0022189F"/>
    <w:rsid w:val="002338C3"/>
    <w:rsid w:val="00257AF7"/>
    <w:rsid w:val="0026323C"/>
    <w:rsid w:val="00272219"/>
    <w:rsid w:val="00285522"/>
    <w:rsid w:val="00286DC2"/>
    <w:rsid w:val="00290D9D"/>
    <w:rsid w:val="00294799"/>
    <w:rsid w:val="002A166F"/>
    <w:rsid w:val="002C6014"/>
    <w:rsid w:val="002D0B5D"/>
    <w:rsid w:val="002E3A4F"/>
    <w:rsid w:val="002E3D21"/>
    <w:rsid w:val="00301AD2"/>
    <w:rsid w:val="00303368"/>
    <w:rsid w:val="003173E2"/>
    <w:rsid w:val="003342A0"/>
    <w:rsid w:val="00335067"/>
    <w:rsid w:val="00335FCD"/>
    <w:rsid w:val="003410B6"/>
    <w:rsid w:val="00342DC6"/>
    <w:rsid w:val="0035097D"/>
    <w:rsid w:val="0035210B"/>
    <w:rsid w:val="00371320"/>
    <w:rsid w:val="00384122"/>
    <w:rsid w:val="00391A86"/>
    <w:rsid w:val="003A1048"/>
    <w:rsid w:val="003A1EF8"/>
    <w:rsid w:val="003B44E7"/>
    <w:rsid w:val="003B4794"/>
    <w:rsid w:val="003D74FC"/>
    <w:rsid w:val="003E36A8"/>
    <w:rsid w:val="003F6196"/>
    <w:rsid w:val="003F6ECE"/>
    <w:rsid w:val="004004E3"/>
    <w:rsid w:val="004042B2"/>
    <w:rsid w:val="00404A75"/>
    <w:rsid w:val="00404E3B"/>
    <w:rsid w:val="004111D5"/>
    <w:rsid w:val="00416D2C"/>
    <w:rsid w:val="004415AB"/>
    <w:rsid w:val="00447BD8"/>
    <w:rsid w:val="00447ECC"/>
    <w:rsid w:val="004540B4"/>
    <w:rsid w:val="0046560B"/>
    <w:rsid w:val="00480A7B"/>
    <w:rsid w:val="00485BF4"/>
    <w:rsid w:val="00486CC0"/>
    <w:rsid w:val="004A5AA8"/>
    <w:rsid w:val="004B582E"/>
    <w:rsid w:val="004D2719"/>
    <w:rsid w:val="00511A66"/>
    <w:rsid w:val="005174A0"/>
    <w:rsid w:val="0052673A"/>
    <w:rsid w:val="00551023"/>
    <w:rsid w:val="005565BB"/>
    <w:rsid w:val="00560C97"/>
    <w:rsid w:val="00576C44"/>
    <w:rsid w:val="00576F8D"/>
    <w:rsid w:val="00583BBD"/>
    <w:rsid w:val="005849AF"/>
    <w:rsid w:val="005920DB"/>
    <w:rsid w:val="005A4C22"/>
    <w:rsid w:val="005A5963"/>
    <w:rsid w:val="005C4246"/>
    <w:rsid w:val="005C4F6A"/>
    <w:rsid w:val="005D3CF8"/>
    <w:rsid w:val="005D5729"/>
    <w:rsid w:val="005E017C"/>
    <w:rsid w:val="005E4F33"/>
    <w:rsid w:val="005F0343"/>
    <w:rsid w:val="005F262D"/>
    <w:rsid w:val="005F6E74"/>
    <w:rsid w:val="00603FB0"/>
    <w:rsid w:val="0060754C"/>
    <w:rsid w:val="006138F1"/>
    <w:rsid w:val="00626BCB"/>
    <w:rsid w:val="00627552"/>
    <w:rsid w:val="00630AE4"/>
    <w:rsid w:val="006348A0"/>
    <w:rsid w:val="00653D5B"/>
    <w:rsid w:val="00664018"/>
    <w:rsid w:val="00670C52"/>
    <w:rsid w:val="00670EEC"/>
    <w:rsid w:val="006714B1"/>
    <w:rsid w:val="0067295B"/>
    <w:rsid w:val="00680984"/>
    <w:rsid w:val="006856DB"/>
    <w:rsid w:val="0069168A"/>
    <w:rsid w:val="0069595B"/>
    <w:rsid w:val="0069764C"/>
    <w:rsid w:val="006A2E6F"/>
    <w:rsid w:val="006C6A1B"/>
    <w:rsid w:val="006D40FB"/>
    <w:rsid w:val="006D6E9C"/>
    <w:rsid w:val="006E0ED5"/>
    <w:rsid w:val="00702ACD"/>
    <w:rsid w:val="00731938"/>
    <w:rsid w:val="00731992"/>
    <w:rsid w:val="00746150"/>
    <w:rsid w:val="00746F5D"/>
    <w:rsid w:val="00755CF9"/>
    <w:rsid w:val="007623BD"/>
    <w:rsid w:val="00775917"/>
    <w:rsid w:val="00781868"/>
    <w:rsid w:val="007831ED"/>
    <w:rsid w:val="00795760"/>
    <w:rsid w:val="007A1F39"/>
    <w:rsid w:val="007A43AC"/>
    <w:rsid w:val="007F2AA1"/>
    <w:rsid w:val="00800F87"/>
    <w:rsid w:val="00823096"/>
    <w:rsid w:val="00827F63"/>
    <w:rsid w:val="00832706"/>
    <w:rsid w:val="00833209"/>
    <w:rsid w:val="008420B2"/>
    <w:rsid w:val="00864E21"/>
    <w:rsid w:val="00875C33"/>
    <w:rsid w:val="0088390D"/>
    <w:rsid w:val="0089283A"/>
    <w:rsid w:val="008A0FF1"/>
    <w:rsid w:val="008A11BA"/>
    <w:rsid w:val="008B1FDC"/>
    <w:rsid w:val="008C4FFC"/>
    <w:rsid w:val="008C56A3"/>
    <w:rsid w:val="008C5943"/>
    <w:rsid w:val="008D4B97"/>
    <w:rsid w:val="008D4DA8"/>
    <w:rsid w:val="008D4FF4"/>
    <w:rsid w:val="008D6531"/>
    <w:rsid w:val="008D6673"/>
    <w:rsid w:val="008E1BD6"/>
    <w:rsid w:val="008F2C2D"/>
    <w:rsid w:val="00915D75"/>
    <w:rsid w:val="0093216D"/>
    <w:rsid w:val="009378E4"/>
    <w:rsid w:val="00943975"/>
    <w:rsid w:val="00945855"/>
    <w:rsid w:val="00963B1B"/>
    <w:rsid w:val="00974E00"/>
    <w:rsid w:val="009810A1"/>
    <w:rsid w:val="00985981"/>
    <w:rsid w:val="009878EA"/>
    <w:rsid w:val="009914B3"/>
    <w:rsid w:val="009A3044"/>
    <w:rsid w:val="009A6119"/>
    <w:rsid w:val="009B569A"/>
    <w:rsid w:val="009C477A"/>
    <w:rsid w:val="009E3A44"/>
    <w:rsid w:val="00A060E8"/>
    <w:rsid w:val="00A138DE"/>
    <w:rsid w:val="00A21AAA"/>
    <w:rsid w:val="00A273BC"/>
    <w:rsid w:val="00A45E05"/>
    <w:rsid w:val="00A61607"/>
    <w:rsid w:val="00A71D10"/>
    <w:rsid w:val="00A71D64"/>
    <w:rsid w:val="00A83D45"/>
    <w:rsid w:val="00A90D66"/>
    <w:rsid w:val="00AA622C"/>
    <w:rsid w:val="00AB5723"/>
    <w:rsid w:val="00AC165F"/>
    <w:rsid w:val="00AD1F67"/>
    <w:rsid w:val="00AD22AA"/>
    <w:rsid w:val="00AD73F4"/>
    <w:rsid w:val="00AE1003"/>
    <w:rsid w:val="00AE33FE"/>
    <w:rsid w:val="00AF3FEA"/>
    <w:rsid w:val="00B04523"/>
    <w:rsid w:val="00B04E94"/>
    <w:rsid w:val="00B11FD6"/>
    <w:rsid w:val="00B1263B"/>
    <w:rsid w:val="00B168A9"/>
    <w:rsid w:val="00B210A6"/>
    <w:rsid w:val="00B237E1"/>
    <w:rsid w:val="00B33916"/>
    <w:rsid w:val="00B342D2"/>
    <w:rsid w:val="00B378BA"/>
    <w:rsid w:val="00B45770"/>
    <w:rsid w:val="00B50CC2"/>
    <w:rsid w:val="00B520B0"/>
    <w:rsid w:val="00B54D69"/>
    <w:rsid w:val="00B55999"/>
    <w:rsid w:val="00B62CF6"/>
    <w:rsid w:val="00B72C1F"/>
    <w:rsid w:val="00B74130"/>
    <w:rsid w:val="00B83F2D"/>
    <w:rsid w:val="00B907FE"/>
    <w:rsid w:val="00BA1F29"/>
    <w:rsid w:val="00BA2373"/>
    <w:rsid w:val="00BA7BFD"/>
    <w:rsid w:val="00BB2DA3"/>
    <w:rsid w:val="00BE114B"/>
    <w:rsid w:val="00BE5CBB"/>
    <w:rsid w:val="00C02B9A"/>
    <w:rsid w:val="00C125D0"/>
    <w:rsid w:val="00C208AA"/>
    <w:rsid w:val="00C31E49"/>
    <w:rsid w:val="00C40371"/>
    <w:rsid w:val="00C54906"/>
    <w:rsid w:val="00C54E58"/>
    <w:rsid w:val="00C55861"/>
    <w:rsid w:val="00C61B3E"/>
    <w:rsid w:val="00C64075"/>
    <w:rsid w:val="00C714A2"/>
    <w:rsid w:val="00C746E5"/>
    <w:rsid w:val="00C76E2A"/>
    <w:rsid w:val="00C80D19"/>
    <w:rsid w:val="00C81967"/>
    <w:rsid w:val="00CA1D00"/>
    <w:rsid w:val="00CB2C29"/>
    <w:rsid w:val="00CB42DB"/>
    <w:rsid w:val="00CC097B"/>
    <w:rsid w:val="00CD2E9A"/>
    <w:rsid w:val="00CE0448"/>
    <w:rsid w:val="00CF377F"/>
    <w:rsid w:val="00D0105A"/>
    <w:rsid w:val="00D04A0E"/>
    <w:rsid w:val="00D0569D"/>
    <w:rsid w:val="00D05E65"/>
    <w:rsid w:val="00D06979"/>
    <w:rsid w:val="00D134FD"/>
    <w:rsid w:val="00D13C34"/>
    <w:rsid w:val="00D151F5"/>
    <w:rsid w:val="00D173BA"/>
    <w:rsid w:val="00D26CEA"/>
    <w:rsid w:val="00D32C81"/>
    <w:rsid w:val="00D36E6B"/>
    <w:rsid w:val="00D372B2"/>
    <w:rsid w:val="00D44B57"/>
    <w:rsid w:val="00D54AAC"/>
    <w:rsid w:val="00D5599C"/>
    <w:rsid w:val="00D61C97"/>
    <w:rsid w:val="00D845AC"/>
    <w:rsid w:val="00D872C6"/>
    <w:rsid w:val="00DB2EC0"/>
    <w:rsid w:val="00DB3395"/>
    <w:rsid w:val="00DB3E1D"/>
    <w:rsid w:val="00DB5C2E"/>
    <w:rsid w:val="00DD08B7"/>
    <w:rsid w:val="00DD0CF2"/>
    <w:rsid w:val="00DD3640"/>
    <w:rsid w:val="00DD4FB4"/>
    <w:rsid w:val="00DD7BA5"/>
    <w:rsid w:val="00DE3381"/>
    <w:rsid w:val="00DE3613"/>
    <w:rsid w:val="00DF121E"/>
    <w:rsid w:val="00DF1D31"/>
    <w:rsid w:val="00DF27CF"/>
    <w:rsid w:val="00E0251D"/>
    <w:rsid w:val="00E153C8"/>
    <w:rsid w:val="00E17D24"/>
    <w:rsid w:val="00E2145D"/>
    <w:rsid w:val="00E23311"/>
    <w:rsid w:val="00E3099D"/>
    <w:rsid w:val="00E32320"/>
    <w:rsid w:val="00E32D02"/>
    <w:rsid w:val="00E543EC"/>
    <w:rsid w:val="00E55F25"/>
    <w:rsid w:val="00E6208D"/>
    <w:rsid w:val="00E62643"/>
    <w:rsid w:val="00E95A17"/>
    <w:rsid w:val="00EA25D8"/>
    <w:rsid w:val="00EA5EBB"/>
    <w:rsid w:val="00EA69FC"/>
    <w:rsid w:val="00EB0783"/>
    <w:rsid w:val="00EC457A"/>
    <w:rsid w:val="00ED5B1B"/>
    <w:rsid w:val="00EE2680"/>
    <w:rsid w:val="00F01138"/>
    <w:rsid w:val="00F06369"/>
    <w:rsid w:val="00F74BB1"/>
    <w:rsid w:val="00F820CB"/>
    <w:rsid w:val="00F83972"/>
    <w:rsid w:val="00FA0A9A"/>
    <w:rsid w:val="00FB6A9C"/>
    <w:rsid w:val="00FD5E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1CB9E"/>
  <w15:docId w15:val="{50FC98CE-CD88-4540-B537-DF4B3AA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FC"/>
    <w:pPr>
      <w:spacing w:before="120"/>
    </w:pPr>
    <w:rPr>
      <w:rFonts w:ascii="Arial" w:hAnsi="Arial"/>
      <w:sz w:val="22"/>
      <w:lang w:val="en-US"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rFonts w:cs="Arial"/>
      <w:b/>
      <w:bCs/>
      <w:szCs w:val="22"/>
    </w:rPr>
  </w:style>
  <w:style w:type="paragraph" w:styleId="Heading3">
    <w:name w:val="heading 3"/>
    <w:basedOn w:val="Normal"/>
    <w:next w:val="Normal"/>
    <w:link w:val="Heading3Char"/>
    <w:semiHidden/>
    <w:unhideWhenUsed/>
    <w:qFormat/>
    <w:rsid w:val="0098598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8397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pPr>
      <w:keepNext/>
      <w:outlineLvl w:val="4"/>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jc w:val="both"/>
    </w:pPr>
    <w:rPr>
      <w:rFonts w:cs="Arial"/>
    </w:rPr>
  </w:style>
  <w:style w:type="paragraph" w:styleId="BodyTextIndent">
    <w:name w:val="Body Text Indent"/>
    <w:basedOn w:val="Normal"/>
    <w:pPr>
      <w:tabs>
        <w:tab w:val="left" w:pos="4320"/>
        <w:tab w:val="left" w:pos="5040"/>
      </w:tabs>
      <w:spacing w:before="240"/>
      <w:ind w:left="5040" w:hanging="5040"/>
      <w:jc w:val="both"/>
    </w:pPr>
    <w:rPr>
      <w:rFonts w:cs="Arial"/>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1800"/>
      </w:tabs>
      <w:spacing w:before="240"/>
      <w:jc w:val="both"/>
    </w:pPr>
    <w:rPr>
      <w:rFonts w:cs="Arial"/>
      <w:szCs w:val="22"/>
    </w:rPr>
  </w:style>
  <w:style w:type="paragraph" w:styleId="z-TopofForm">
    <w:name w:val="HTML Top of Form"/>
    <w:link w:val="z-TopofFormChar"/>
    <w:rsid w:val="00416D2C"/>
    <w:rPr>
      <w:rFonts w:ascii="Times" w:hAnsi="Times"/>
      <w:sz w:val="24"/>
      <w:lang w:val="en-US" w:eastAsia="en-US"/>
    </w:rPr>
  </w:style>
  <w:style w:type="character" w:customStyle="1" w:styleId="z-TopofFormChar">
    <w:name w:val="z-Top of Form Char"/>
    <w:link w:val="z-TopofForm"/>
    <w:rsid w:val="00416D2C"/>
    <w:rPr>
      <w:rFonts w:ascii="Times" w:hAnsi="Times"/>
      <w:sz w:val="24"/>
    </w:rPr>
  </w:style>
  <w:style w:type="character" w:styleId="Hyperlink">
    <w:name w:val="Hyperlink"/>
    <w:rsid w:val="00416D2C"/>
    <w:rPr>
      <w:color w:val="0000FF"/>
      <w:u w:val="single"/>
    </w:rPr>
  </w:style>
  <w:style w:type="character" w:styleId="FollowedHyperlink">
    <w:name w:val="FollowedHyperlink"/>
    <w:rsid w:val="00D173BA"/>
    <w:rPr>
      <w:color w:val="800080"/>
      <w:u w:val="single"/>
    </w:rPr>
  </w:style>
  <w:style w:type="paragraph" w:styleId="NormalWeb">
    <w:name w:val="Normal (Web)"/>
    <w:basedOn w:val="Normal"/>
    <w:uiPriority w:val="99"/>
    <w:unhideWhenUsed/>
    <w:rsid w:val="00205519"/>
    <w:pPr>
      <w:spacing w:before="100" w:beforeAutospacing="1" w:after="100" w:afterAutospacing="1"/>
    </w:pPr>
    <w:rPr>
      <w:sz w:val="24"/>
      <w:szCs w:val="24"/>
      <w:lang w:val="en-CA" w:eastAsia="en-CA"/>
    </w:rPr>
  </w:style>
  <w:style w:type="character" w:styleId="HTMLAcronym">
    <w:name w:val="HTML Acronym"/>
    <w:basedOn w:val="DefaultParagraphFont"/>
    <w:uiPriority w:val="99"/>
    <w:unhideWhenUsed/>
    <w:rsid w:val="00205519"/>
  </w:style>
  <w:style w:type="paragraph" w:styleId="ListParagraph">
    <w:name w:val="List Paragraph"/>
    <w:basedOn w:val="Normal"/>
    <w:uiPriority w:val="34"/>
    <w:qFormat/>
    <w:rsid w:val="00205519"/>
    <w:pPr>
      <w:ind w:left="720"/>
      <w:contextualSpacing/>
    </w:pPr>
  </w:style>
  <w:style w:type="paragraph" w:styleId="BalloonText">
    <w:name w:val="Balloon Text"/>
    <w:basedOn w:val="Normal"/>
    <w:link w:val="BalloonTextChar"/>
    <w:rsid w:val="00670C52"/>
    <w:rPr>
      <w:rFonts w:ascii="Tahoma" w:hAnsi="Tahoma" w:cs="Tahoma"/>
      <w:sz w:val="16"/>
      <w:szCs w:val="16"/>
    </w:rPr>
  </w:style>
  <w:style w:type="character" w:customStyle="1" w:styleId="BalloonTextChar">
    <w:name w:val="Balloon Text Char"/>
    <w:basedOn w:val="DefaultParagraphFont"/>
    <w:link w:val="BalloonText"/>
    <w:rsid w:val="00670C52"/>
    <w:rPr>
      <w:rFonts w:ascii="Tahoma" w:hAnsi="Tahoma" w:cs="Tahoma"/>
      <w:sz w:val="16"/>
      <w:szCs w:val="16"/>
      <w:lang w:val="en-US" w:eastAsia="en-US"/>
    </w:rPr>
  </w:style>
  <w:style w:type="paragraph" w:customStyle="1" w:styleId="Default">
    <w:name w:val="Default"/>
    <w:link w:val="DefaultChar"/>
    <w:rsid w:val="008D6531"/>
    <w:pPr>
      <w:autoSpaceDE w:val="0"/>
      <w:autoSpaceDN w:val="0"/>
      <w:adjustRightInd w:val="0"/>
    </w:pPr>
    <w:rPr>
      <w:rFonts w:ascii="Calibri" w:hAnsi="Calibri" w:cs="Calibri"/>
      <w:color w:val="000000"/>
      <w:sz w:val="24"/>
      <w:szCs w:val="24"/>
      <w:lang w:val="en-US"/>
    </w:rPr>
  </w:style>
  <w:style w:type="paragraph" w:customStyle="1" w:styleId="Pa13">
    <w:name w:val="Pa13"/>
    <w:basedOn w:val="Default"/>
    <w:next w:val="Default"/>
    <w:uiPriority w:val="99"/>
    <w:rsid w:val="00560C97"/>
    <w:pPr>
      <w:spacing w:line="211" w:lineRule="atLeast"/>
    </w:pPr>
    <w:rPr>
      <w:rFonts w:ascii="Whitney Condensed Book" w:hAnsi="Whitney Condensed Book" w:cs="Times New Roman"/>
      <w:color w:val="auto"/>
      <w:lang w:val="en-CA"/>
    </w:rPr>
  </w:style>
  <w:style w:type="character" w:styleId="CommentReference">
    <w:name w:val="annotation reference"/>
    <w:basedOn w:val="DefaultParagraphFont"/>
    <w:rsid w:val="00D04A0E"/>
    <w:rPr>
      <w:sz w:val="16"/>
      <w:szCs w:val="16"/>
    </w:rPr>
  </w:style>
  <w:style w:type="paragraph" w:styleId="CommentText">
    <w:name w:val="annotation text"/>
    <w:basedOn w:val="Normal"/>
    <w:link w:val="CommentTextChar"/>
    <w:rsid w:val="00D04A0E"/>
  </w:style>
  <w:style w:type="character" w:customStyle="1" w:styleId="CommentTextChar">
    <w:name w:val="Comment Text Char"/>
    <w:basedOn w:val="DefaultParagraphFont"/>
    <w:link w:val="CommentText"/>
    <w:rsid w:val="00D04A0E"/>
    <w:rPr>
      <w:lang w:val="en-US" w:eastAsia="en-US"/>
    </w:rPr>
  </w:style>
  <w:style w:type="paragraph" w:styleId="CommentSubject">
    <w:name w:val="annotation subject"/>
    <w:basedOn w:val="CommentText"/>
    <w:next w:val="CommentText"/>
    <w:link w:val="CommentSubjectChar"/>
    <w:rsid w:val="00D04A0E"/>
    <w:rPr>
      <w:b/>
      <w:bCs/>
    </w:rPr>
  </w:style>
  <w:style w:type="character" w:customStyle="1" w:styleId="CommentSubjectChar">
    <w:name w:val="Comment Subject Char"/>
    <w:basedOn w:val="CommentTextChar"/>
    <w:link w:val="CommentSubject"/>
    <w:rsid w:val="00D04A0E"/>
    <w:rPr>
      <w:b/>
      <w:bCs/>
      <w:lang w:val="en-US" w:eastAsia="en-US"/>
    </w:rPr>
  </w:style>
  <w:style w:type="table" w:styleId="TableGrid">
    <w:name w:val="Table Grid"/>
    <w:basedOn w:val="TableNormal"/>
    <w:rsid w:val="00B54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C746E5"/>
    <w:rPr>
      <w:rFonts w:ascii="Calibri" w:hAnsi="Calibri" w:cs="Calibri"/>
      <w:color w:val="000000"/>
      <w:sz w:val="24"/>
      <w:szCs w:val="24"/>
      <w:lang w:val="en-US"/>
    </w:rPr>
  </w:style>
  <w:style w:type="character" w:styleId="Strong">
    <w:name w:val="Strong"/>
    <w:basedOn w:val="DefaultParagraphFont"/>
    <w:uiPriority w:val="22"/>
    <w:qFormat/>
    <w:rsid w:val="00C746E5"/>
    <w:rPr>
      <w:b/>
      <w:bCs/>
    </w:rPr>
  </w:style>
  <w:style w:type="character" w:styleId="Emphasis">
    <w:name w:val="Emphasis"/>
    <w:basedOn w:val="DefaultParagraphFont"/>
    <w:uiPriority w:val="20"/>
    <w:qFormat/>
    <w:rsid w:val="00C746E5"/>
    <w:rPr>
      <w:i/>
      <w:iCs/>
    </w:rPr>
  </w:style>
  <w:style w:type="character" w:customStyle="1" w:styleId="Heading3Char">
    <w:name w:val="Heading 3 Char"/>
    <w:basedOn w:val="DefaultParagraphFont"/>
    <w:link w:val="Heading3"/>
    <w:semiHidden/>
    <w:rsid w:val="00985981"/>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F83972"/>
    <w:rPr>
      <w:rFonts w:asciiTheme="majorHAnsi" w:eastAsiaTheme="majorEastAsia" w:hAnsiTheme="majorHAnsi" w:cstheme="majorBidi"/>
      <w:i/>
      <w:iCs/>
      <w:color w:val="365F91" w:themeColor="accent1" w:themeShade="BF"/>
      <w:lang w:val="en-US" w:eastAsia="en-US"/>
    </w:rPr>
  </w:style>
  <w:style w:type="character" w:styleId="UnresolvedMention">
    <w:name w:val="Unresolved Mention"/>
    <w:basedOn w:val="DefaultParagraphFont"/>
    <w:uiPriority w:val="99"/>
    <w:semiHidden/>
    <w:unhideWhenUsed/>
    <w:rsid w:val="003173E2"/>
    <w:rPr>
      <w:color w:val="605E5C"/>
      <w:shd w:val="clear" w:color="auto" w:fill="E1DFDD"/>
    </w:rPr>
  </w:style>
  <w:style w:type="paragraph" w:customStyle="1" w:styleId="StyleHeading3LatinArial11ptBoldCustomColorRGB777">
    <w:name w:val="Style Heading 3 + (Latin) Arial 11 pt Bold Custom Color(RGB(777..."/>
    <w:basedOn w:val="Heading3"/>
    <w:autoRedefine/>
    <w:rsid w:val="000308C3"/>
    <w:pPr>
      <w:tabs>
        <w:tab w:val="left" w:pos="720"/>
      </w:tabs>
      <w:spacing w:before="120"/>
      <w:ind w:left="360"/>
    </w:pPr>
    <w:rPr>
      <w:rFonts w:ascii="Arial" w:eastAsia="Times New Roman" w:hAnsi="Arial" w:cs="Times New Roman"/>
      <w:b/>
      <w:bCs/>
      <w:color w:val="000000" w:themeColor="text1"/>
      <w:sz w:val="22"/>
      <w:szCs w:val="20"/>
    </w:rPr>
  </w:style>
  <w:style w:type="character" w:customStyle="1" w:styleId="FooterChar">
    <w:name w:val="Footer Char"/>
    <w:basedOn w:val="DefaultParagraphFont"/>
    <w:link w:val="Footer"/>
    <w:uiPriority w:val="99"/>
    <w:rsid w:val="00E17D24"/>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188">
      <w:bodyDiv w:val="1"/>
      <w:marLeft w:val="0"/>
      <w:marRight w:val="0"/>
      <w:marTop w:val="0"/>
      <w:marBottom w:val="0"/>
      <w:divBdr>
        <w:top w:val="none" w:sz="0" w:space="0" w:color="auto"/>
        <w:left w:val="none" w:sz="0" w:space="0" w:color="auto"/>
        <w:bottom w:val="none" w:sz="0" w:space="0" w:color="auto"/>
        <w:right w:val="none" w:sz="0" w:space="0" w:color="auto"/>
      </w:divBdr>
    </w:div>
    <w:div w:id="414129174">
      <w:bodyDiv w:val="1"/>
      <w:marLeft w:val="0"/>
      <w:marRight w:val="0"/>
      <w:marTop w:val="0"/>
      <w:marBottom w:val="0"/>
      <w:divBdr>
        <w:top w:val="none" w:sz="0" w:space="0" w:color="auto"/>
        <w:left w:val="none" w:sz="0" w:space="0" w:color="auto"/>
        <w:bottom w:val="none" w:sz="0" w:space="0" w:color="auto"/>
        <w:right w:val="none" w:sz="0" w:space="0" w:color="auto"/>
      </w:divBdr>
    </w:div>
    <w:div w:id="487525685">
      <w:bodyDiv w:val="1"/>
      <w:marLeft w:val="0"/>
      <w:marRight w:val="0"/>
      <w:marTop w:val="0"/>
      <w:marBottom w:val="0"/>
      <w:divBdr>
        <w:top w:val="none" w:sz="0" w:space="0" w:color="auto"/>
        <w:left w:val="none" w:sz="0" w:space="0" w:color="auto"/>
        <w:bottom w:val="none" w:sz="0" w:space="0" w:color="auto"/>
        <w:right w:val="none" w:sz="0" w:space="0" w:color="auto"/>
      </w:divBdr>
    </w:div>
    <w:div w:id="487870837">
      <w:bodyDiv w:val="1"/>
      <w:marLeft w:val="0"/>
      <w:marRight w:val="0"/>
      <w:marTop w:val="0"/>
      <w:marBottom w:val="0"/>
      <w:divBdr>
        <w:top w:val="none" w:sz="0" w:space="0" w:color="auto"/>
        <w:left w:val="none" w:sz="0" w:space="0" w:color="auto"/>
        <w:bottom w:val="none" w:sz="0" w:space="0" w:color="auto"/>
        <w:right w:val="none" w:sz="0" w:space="0" w:color="auto"/>
      </w:divBdr>
    </w:div>
    <w:div w:id="959530181">
      <w:bodyDiv w:val="1"/>
      <w:marLeft w:val="0"/>
      <w:marRight w:val="0"/>
      <w:marTop w:val="0"/>
      <w:marBottom w:val="0"/>
      <w:divBdr>
        <w:top w:val="none" w:sz="0" w:space="0" w:color="auto"/>
        <w:left w:val="none" w:sz="0" w:space="0" w:color="auto"/>
        <w:bottom w:val="none" w:sz="0" w:space="0" w:color="auto"/>
        <w:right w:val="none" w:sz="0" w:space="0" w:color="auto"/>
      </w:divBdr>
    </w:div>
    <w:div w:id="1042175663">
      <w:bodyDiv w:val="1"/>
      <w:marLeft w:val="0"/>
      <w:marRight w:val="0"/>
      <w:marTop w:val="0"/>
      <w:marBottom w:val="0"/>
      <w:divBdr>
        <w:top w:val="none" w:sz="0" w:space="0" w:color="auto"/>
        <w:left w:val="none" w:sz="0" w:space="0" w:color="auto"/>
        <w:bottom w:val="none" w:sz="0" w:space="0" w:color="auto"/>
        <w:right w:val="none" w:sz="0" w:space="0" w:color="auto"/>
      </w:divBdr>
    </w:div>
    <w:div w:id="1329602077">
      <w:bodyDiv w:val="1"/>
      <w:marLeft w:val="0"/>
      <w:marRight w:val="0"/>
      <w:marTop w:val="0"/>
      <w:marBottom w:val="0"/>
      <w:divBdr>
        <w:top w:val="none" w:sz="0" w:space="0" w:color="auto"/>
        <w:left w:val="none" w:sz="0" w:space="0" w:color="auto"/>
        <w:bottom w:val="none" w:sz="0" w:space="0" w:color="auto"/>
        <w:right w:val="none" w:sz="0" w:space="0" w:color="auto"/>
      </w:divBdr>
      <w:divsChild>
        <w:div w:id="832263823">
          <w:marLeft w:val="0"/>
          <w:marRight w:val="0"/>
          <w:marTop w:val="0"/>
          <w:marBottom w:val="0"/>
          <w:divBdr>
            <w:top w:val="none" w:sz="0" w:space="0" w:color="auto"/>
            <w:left w:val="none" w:sz="0" w:space="0" w:color="auto"/>
            <w:bottom w:val="none" w:sz="0" w:space="0" w:color="auto"/>
            <w:right w:val="none" w:sz="0" w:space="0" w:color="auto"/>
          </w:divBdr>
          <w:divsChild>
            <w:div w:id="1974141470">
              <w:marLeft w:val="0"/>
              <w:marRight w:val="0"/>
              <w:marTop w:val="0"/>
              <w:marBottom w:val="0"/>
              <w:divBdr>
                <w:top w:val="none" w:sz="0" w:space="0" w:color="auto"/>
                <w:left w:val="none" w:sz="0" w:space="0" w:color="auto"/>
                <w:bottom w:val="none" w:sz="0" w:space="0" w:color="auto"/>
                <w:right w:val="none" w:sz="0" w:space="0" w:color="auto"/>
              </w:divBdr>
              <w:divsChild>
                <w:div w:id="18552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81808">
      <w:bodyDiv w:val="1"/>
      <w:marLeft w:val="0"/>
      <w:marRight w:val="0"/>
      <w:marTop w:val="0"/>
      <w:marBottom w:val="0"/>
      <w:divBdr>
        <w:top w:val="none" w:sz="0" w:space="0" w:color="auto"/>
        <w:left w:val="none" w:sz="0" w:space="0" w:color="auto"/>
        <w:bottom w:val="none" w:sz="0" w:space="0" w:color="auto"/>
        <w:right w:val="none" w:sz="0" w:space="0" w:color="auto"/>
      </w:divBdr>
    </w:div>
    <w:div w:id="1568296869">
      <w:bodyDiv w:val="1"/>
      <w:marLeft w:val="0"/>
      <w:marRight w:val="0"/>
      <w:marTop w:val="0"/>
      <w:marBottom w:val="0"/>
      <w:divBdr>
        <w:top w:val="none" w:sz="0" w:space="0" w:color="auto"/>
        <w:left w:val="none" w:sz="0" w:space="0" w:color="auto"/>
        <w:bottom w:val="none" w:sz="0" w:space="0" w:color="auto"/>
        <w:right w:val="none" w:sz="0" w:space="0" w:color="auto"/>
      </w:divBdr>
    </w:div>
    <w:div w:id="1659117648">
      <w:bodyDiv w:val="1"/>
      <w:marLeft w:val="0"/>
      <w:marRight w:val="0"/>
      <w:marTop w:val="0"/>
      <w:marBottom w:val="0"/>
      <w:divBdr>
        <w:top w:val="none" w:sz="0" w:space="0" w:color="auto"/>
        <w:left w:val="none" w:sz="0" w:space="0" w:color="auto"/>
        <w:bottom w:val="none" w:sz="0" w:space="0" w:color="auto"/>
        <w:right w:val="none" w:sz="0" w:space="0" w:color="auto"/>
      </w:divBdr>
    </w:div>
    <w:div w:id="1723401300">
      <w:bodyDiv w:val="1"/>
      <w:marLeft w:val="0"/>
      <w:marRight w:val="0"/>
      <w:marTop w:val="0"/>
      <w:marBottom w:val="0"/>
      <w:divBdr>
        <w:top w:val="none" w:sz="0" w:space="0" w:color="auto"/>
        <w:left w:val="none" w:sz="0" w:space="0" w:color="auto"/>
        <w:bottom w:val="none" w:sz="0" w:space="0" w:color="auto"/>
        <w:right w:val="none" w:sz="0" w:space="0" w:color="auto"/>
      </w:divBdr>
    </w:div>
    <w:div w:id="1740058681">
      <w:bodyDiv w:val="1"/>
      <w:marLeft w:val="0"/>
      <w:marRight w:val="0"/>
      <w:marTop w:val="0"/>
      <w:marBottom w:val="0"/>
      <w:divBdr>
        <w:top w:val="none" w:sz="0" w:space="0" w:color="auto"/>
        <w:left w:val="none" w:sz="0" w:space="0" w:color="auto"/>
        <w:bottom w:val="none" w:sz="0" w:space="0" w:color="auto"/>
        <w:right w:val="none" w:sz="0" w:space="0" w:color="auto"/>
      </w:divBdr>
    </w:div>
    <w:div w:id="1840194056">
      <w:bodyDiv w:val="1"/>
      <w:marLeft w:val="0"/>
      <w:marRight w:val="0"/>
      <w:marTop w:val="0"/>
      <w:marBottom w:val="0"/>
      <w:divBdr>
        <w:top w:val="none" w:sz="0" w:space="0" w:color="auto"/>
        <w:left w:val="none" w:sz="0" w:space="0" w:color="auto"/>
        <w:bottom w:val="none" w:sz="0" w:space="0" w:color="auto"/>
        <w:right w:val="none" w:sz="0" w:space="0" w:color="auto"/>
      </w:divBdr>
    </w:div>
    <w:div w:id="2032609541">
      <w:bodyDiv w:val="1"/>
      <w:marLeft w:val="0"/>
      <w:marRight w:val="0"/>
      <w:marTop w:val="0"/>
      <w:marBottom w:val="0"/>
      <w:divBdr>
        <w:top w:val="none" w:sz="0" w:space="0" w:color="auto"/>
        <w:left w:val="none" w:sz="0" w:space="0" w:color="auto"/>
        <w:bottom w:val="none" w:sz="0" w:space="0" w:color="auto"/>
        <w:right w:val="none" w:sz="0" w:space="0" w:color="auto"/>
      </w:divBdr>
    </w:div>
    <w:div w:id="2050647891">
      <w:bodyDiv w:val="1"/>
      <w:marLeft w:val="0"/>
      <w:marRight w:val="0"/>
      <w:marTop w:val="0"/>
      <w:marBottom w:val="0"/>
      <w:divBdr>
        <w:top w:val="none" w:sz="0" w:space="0" w:color="auto"/>
        <w:left w:val="none" w:sz="0" w:space="0" w:color="auto"/>
        <w:bottom w:val="none" w:sz="0" w:space="0" w:color="auto"/>
        <w:right w:val="none" w:sz="0" w:space="0" w:color="auto"/>
      </w:divBdr>
    </w:div>
    <w:div w:id="206956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oda.ca/the-act/" TargetMode="External"/><Relationship Id="rId18" Type="http://schemas.openxmlformats.org/officeDocument/2006/relationships/hyperlink" Target="https://www.ontario.ca/laws/regulation/110191%20-%20BK3%23BK3"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aph-fileserv\G_DRIVE\Administration\Accessibility\Accessibility%2020230213\www.algomapublichealth.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ntario.ca/laws/regulation/110191%20-%20BK3%23BK3"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ontario.ca/laws/regulation/110191%20-%20BK3%23BK3" TargetMode="External"/><Relationship Id="rId20" Type="http://schemas.openxmlformats.org/officeDocument/2006/relationships/hyperlink" Target="https://www.ohrc.on.ca/en/ontario-human-rights-code"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www.ontario.ca/laws/regulation/110191%20-%20BK3%23BK3"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ontario.ca/laws/regulation/110191%20-%20BK3%23BK3"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aoda.ca/integrated/" TargetMode="External"/><Relationship Id="rId22" Type="http://schemas.openxmlformats.org/officeDocument/2006/relationships/hyperlink" Target="mailto:hr@algomapublic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9CC3FBA-36A7-4FC2-9E80-D3E1D6415851}">
  <we:reference id="wa200001971" version="1.0.0.10" store="en-US" storeType="OMEX"/>
  <we:alternateReferences>
    <we:reference id="WA200001971" version="1.0.0.10" store="WA2000019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E84B5C6-2409-4136-920A-D26E0007ACE1}">
  <we:reference id="wa200002281" version="1.0.0.0" store="en-US" storeType="OMEX"/>
  <we:alternateReferences>
    <we:reference id="WA200002281" version="1.0.0.0" store="WA2000022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b0e9240-e808-4a4a-ac90-f8bea7726fab">WQDSS5X6CHTE-594-8624</_dlc_DocId>
    <_dlc_DocIdUrl xmlns="3b0e9240-e808-4a4a-ac90-f8bea7726fab">
      <Url>http://intranet/Docs/_layouts/DocIdRedir.aspx?ID=WQDSS5X6CHTE-594-8624</Url>
      <Description>WQDSS5X6CHTE-594-8624</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4A01235558624C91E82174E82E16E3" ma:contentTypeVersion="1" ma:contentTypeDescription="Create a new document." ma:contentTypeScope="" ma:versionID="41274588417ec08d4bcacacfa1ff3494">
  <xsd:schema xmlns:xsd="http://www.w3.org/2001/XMLSchema" xmlns:xs="http://www.w3.org/2001/XMLSchema" xmlns:p="http://schemas.microsoft.com/office/2006/metadata/properties" xmlns:ns2="3b0e9240-e808-4a4a-ac90-f8bea7726fab" xmlns:ns3="http://schemas.microsoft.com/sharepoint/v4" targetNamespace="http://schemas.microsoft.com/office/2006/metadata/properties" ma:root="true" ma:fieldsID="5fd7c6e7282e409e041644fcdb5e4164" ns2:_="" ns3:_="">
    <xsd:import namespace="3b0e9240-e808-4a4a-ac90-f8bea7726f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e9240-e808-4a4a-ac90-f8bea7726f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2C4AAF-1CB6-4E85-A698-CEAAE2F7122C}">
  <ds:schemaRefs>
    <ds:schemaRef ds:uri="http://schemas.openxmlformats.org/officeDocument/2006/bibliography"/>
  </ds:schemaRefs>
</ds:datastoreItem>
</file>

<file path=customXml/itemProps2.xml><?xml version="1.0" encoding="utf-8"?>
<ds:datastoreItem xmlns:ds="http://schemas.openxmlformats.org/officeDocument/2006/customXml" ds:itemID="{A90530CE-A489-40BD-9830-0E1DFBA18A98}">
  <ds:schemaRefs>
    <ds:schemaRef ds:uri="http://schemas.microsoft.com/sharepoint/v3/contenttype/forms"/>
  </ds:schemaRefs>
</ds:datastoreItem>
</file>

<file path=customXml/itemProps3.xml><?xml version="1.0" encoding="utf-8"?>
<ds:datastoreItem xmlns:ds="http://schemas.openxmlformats.org/officeDocument/2006/customXml" ds:itemID="{F1859133-C43D-413B-91B9-CD17B5EDA2A7}">
  <ds:schemaRefs>
    <ds:schemaRef ds:uri="http://schemas.microsoft.com/office/2006/metadata/properties"/>
    <ds:schemaRef ds:uri="http://schemas.microsoft.com/office/infopath/2007/PartnerControls"/>
    <ds:schemaRef ds:uri="3b0e9240-e808-4a4a-ac90-f8bea7726fab"/>
    <ds:schemaRef ds:uri="http://schemas.microsoft.com/sharepoint/v4"/>
  </ds:schemaRefs>
</ds:datastoreItem>
</file>

<file path=customXml/itemProps4.xml><?xml version="1.0" encoding="utf-8"?>
<ds:datastoreItem xmlns:ds="http://schemas.openxmlformats.org/officeDocument/2006/customXml" ds:itemID="{C7846949-CF3E-40A8-8FA8-8987A5B95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e9240-e808-4a4a-ac90-f8bea7726f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7F1163-1D9C-4DA5-8FCA-5139D86622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2302</Words>
  <Characters>13667</Characters>
  <Application>Microsoft Office Word</Application>
  <DocSecurity>0</DocSecurity>
  <Lines>244</Lines>
  <Paragraphs>150</Paragraphs>
  <ScaleCrop>false</ScaleCrop>
  <HeadingPairs>
    <vt:vector size="2" baseType="variant">
      <vt:variant>
        <vt:lpstr>Title</vt:lpstr>
      </vt:variant>
      <vt:variant>
        <vt:i4>1</vt:i4>
      </vt:variant>
    </vt:vector>
  </HeadingPairs>
  <TitlesOfParts>
    <vt:vector size="1" baseType="lpstr">
      <vt:lpstr>Algoma Health Unit – SEXUAL HEALTH – Policies and Procedures Manual</vt:lpstr>
    </vt:vector>
  </TitlesOfParts>
  <Company>Algoma Health Unit</Company>
  <LinksUpToDate>false</LinksUpToDate>
  <CharactersWithSpaces>15819</CharactersWithSpaces>
  <SharedDoc>false</SharedDoc>
  <HLinks>
    <vt:vector size="54" baseType="variant">
      <vt:variant>
        <vt:i4>5439558</vt:i4>
      </vt:variant>
      <vt:variant>
        <vt:i4>26</vt:i4>
      </vt:variant>
      <vt:variant>
        <vt:i4>0</vt:i4>
      </vt:variant>
      <vt:variant>
        <vt:i4>5</vt:i4>
      </vt:variant>
      <vt:variant>
        <vt:lpwstr>http://ahu-serv12/docushare/dscgi/ds.py/Get/File-4291</vt:lpwstr>
      </vt:variant>
      <vt:variant>
        <vt:lpwstr/>
      </vt:variant>
      <vt:variant>
        <vt:i4>3735676</vt:i4>
      </vt:variant>
      <vt:variant>
        <vt:i4>23</vt:i4>
      </vt:variant>
      <vt:variant>
        <vt:i4>0</vt:i4>
      </vt:variant>
      <vt:variant>
        <vt:i4>5</vt:i4>
      </vt:variant>
      <vt:variant>
        <vt:lpwstr>http://www.wsib.on.ca/wsib/wsibsite.nsf/public/ReferencePrevention</vt:lpwstr>
      </vt:variant>
      <vt:variant>
        <vt:lpwstr/>
      </vt:variant>
      <vt:variant>
        <vt:i4>2621529</vt:i4>
      </vt:variant>
      <vt:variant>
        <vt:i4>20</vt:i4>
      </vt:variant>
      <vt:variant>
        <vt:i4>0</vt:i4>
      </vt:variant>
      <vt:variant>
        <vt:i4>5</vt:i4>
      </vt:variant>
      <vt:variant>
        <vt:lpwstr>http://www.e-laws.gov.on.ca/html/statutes/english/elaws_statutes_97w16_e.htm</vt:lpwstr>
      </vt:variant>
      <vt:variant>
        <vt:lpwstr/>
      </vt:variant>
      <vt:variant>
        <vt:i4>5832793</vt:i4>
      </vt:variant>
      <vt:variant>
        <vt:i4>17</vt:i4>
      </vt:variant>
      <vt:variant>
        <vt:i4>0</vt:i4>
      </vt:variant>
      <vt:variant>
        <vt:i4>5</vt:i4>
      </vt:variant>
      <vt:variant>
        <vt:lpwstr>http://www.labour.gov.on.ca/english/hs/pdf/whmis.pdf</vt:lpwstr>
      </vt:variant>
      <vt:variant>
        <vt:lpwstr/>
      </vt:variant>
      <vt:variant>
        <vt:i4>2752526</vt:i4>
      </vt:variant>
      <vt:variant>
        <vt:i4>14</vt:i4>
      </vt:variant>
      <vt:variant>
        <vt:i4>0</vt:i4>
      </vt:variant>
      <vt:variant>
        <vt:i4>5</vt:i4>
      </vt:variant>
      <vt:variant>
        <vt:lpwstr>http://www.labour.gov.on.ca/english/hs/pdf/jhsc_g.pdf</vt:lpwstr>
      </vt:variant>
      <vt:variant>
        <vt:lpwstr/>
      </vt:variant>
      <vt:variant>
        <vt:i4>2621531</vt:i4>
      </vt:variant>
      <vt:variant>
        <vt:i4>11</vt:i4>
      </vt:variant>
      <vt:variant>
        <vt:i4>0</vt:i4>
      </vt:variant>
      <vt:variant>
        <vt:i4>5</vt:i4>
      </vt:variant>
      <vt:variant>
        <vt:lpwstr>http://www.labour.gov.on.ca/english/hs/pubs/ohsa/ohsag_appa.php</vt:lpwstr>
      </vt:variant>
      <vt:variant>
        <vt:lpwstr/>
      </vt:variant>
      <vt:variant>
        <vt:i4>786533</vt:i4>
      </vt:variant>
      <vt:variant>
        <vt:i4>8</vt:i4>
      </vt:variant>
      <vt:variant>
        <vt:i4>0</vt:i4>
      </vt:variant>
      <vt:variant>
        <vt:i4>5</vt:i4>
      </vt:variant>
      <vt:variant>
        <vt:lpwstr>http://www.e-laws.gov.on.ca/html/regs/english/elaws_regs_930067_e.htm</vt:lpwstr>
      </vt:variant>
      <vt:variant>
        <vt:lpwstr/>
      </vt:variant>
      <vt:variant>
        <vt:i4>3604575</vt:i4>
      </vt:variant>
      <vt:variant>
        <vt:i4>5</vt:i4>
      </vt:variant>
      <vt:variant>
        <vt:i4>0</vt:i4>
      </vt:variant>
      <vt:variant>
        <vt:i4>5</vt:i4>
      </vt:variant>
      <vt:variant>
        <vt:lpwstr>http://www.e-laws.gov.on.ca/html/statutes/english/elaws_statutes_90o01_e.htm</vt:lpwstr>
      </vt:variant>
      <vt:variant>
        <vt:lpwstr/>
      </vt:variant>
      <vt:variant>
        <vt:i4>5374020</vt:i4>
      </vt:variant>
      <vt:variant>
        <vt:i4>2</vt:i4>
      </vt:variant>
      <vt:variant>
        <vt:i4>0</vt:i4>
      </vt:variant>
      <vt:variant>
        <vt:i4>5</vt:i4>
      </vt:variant>
      <vt:variant>
        <vt:lpwstr>http://ahu-serv12/docushare/dscgi/ds.py/Get/File-4084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Algoma Health Unit – SEXUAL HEALTH – Policies and Procedures Manual</dc:title>
  <dc:creator>Trina Mount</dc:creator>
  <cp:lastModifiedBy>Carla Breton</cp:lastModifiedBy>
  <cp:revision>3</cp:revision>
  <cp:lastPrinted>2018-03-28T18:28:00Z</cp:lastPrinted>
  <dcterms:created xsi:type="dcterms:W3CDTF">2025-12-30T18:47:00Z</dcterms:created>
  <dcterms:modified xsi:type="dcterms:W3CDTF">2026-01-30T22:06:00Z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fb84716e-da70-4740-87f8-b1b831f1eba5</vt:lpwstr>
  </property>
  <property fmtid="{D5CDD505-2E9C-101B-9397-08002B2CF9AE}" pid="3" name="ContentTypeId">
    <vt:lpwstr>0x010100C84A01235558624C91E82174E82E16E3</vt:lpwstr>
  </property>
</Properties>
</file>